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B1867">
      <w:pPr>
        <w:jc w:val="center"/>
        <w:rPr>
          <w:rFonts w:hint="default" w:ascii="Times New Roman" w:hAnsi="Times New Roman" w:eastAsia="方正小标宋_GBK" w:cs="Times New Roman"/>
          <w:sz w:val="36"/>
          <w:szCs w:val="36"/>
          <w:lang w:eastAsia="zh-CN"/>
        </w:rPr>
      </w:pPr>
      <w:r>
        <w:rPr>
          <w:rFonts w:hint="default" w:ascii="Times New Roman" w:hAnsi="Times New Roman" w:eastAsia="方正小标宋_GBK" w:cs="Times New Roman"/>
          <w:sz w:val="36"/>
          <w:szCs w:val="36"/>
        </w:rPr>
        <w:t>202</w:t>
      </w:r>
      <w:r>
        <w:rPr>
          <w:rFonts w:hint="eastAsia" w:ascii="Times New Roman" w:hAnsi="Times New Roman" w:eastAsia="方正小标宋_GBK" w:cs="Times New Roman"/>
          <w:sz w:val="36"/>
          <w:szCs w:val="36"/>
          <w:lang w:val="en-US" w:eastAsia="zh-CN"/>
        </w:rPr>
        <w:t>3</w:t>
      </w:r>
      <w:r>
        <w:rPr>
          <w:rFonts w:hint="default" w:ascii="Times New Roman" w:hAnsi="Times New Roman" w:eastAsia="方正小标宋_GBK" w:cs="Times New Roman"/>
          <w:sz w:val="36"/>
          <w:szCs w:val="36"/>
        </w:rPr>
        <w:t>年度</w:t>
      </w:r>
      <w:r>
        <w:rPr>
          <w:rFonts w:hint="eastAsia" w:ascii="Times New Roman" w:hAnsi="Times New Roman" w:eastAsia="方正小标宋_GBK" w:cs="Times New Roman"/>
          <w:sz w:val="36"/>
          <w:szCs w:val="36"/>
          <w:lang w:eastAsia="zh-CN"/>
        </w:rPr>
        <w:t>卫生科技发展</w:t>
      </w:r>
    </w:p>
    <w:p w14:paraId="59413373">
      <w:pPr>
        <w:pageBreakBefore w:val="0"/>
        <w:widowControl/>
        <w:kinsoku/>
        <w:wordWrap/>
        <w:overflowPunct/>
        <w:topLinePunct w:val="0"/>
        <w:autoSpaceDE/>
        <w:autoSpaceDN/>
        <w:bidi w:val="0"/>
        <w:adjustRightInd/>
        <w:spacing w:line="540" w:lineRule="exact"/>
        <w:ind w:firstLine="720" w:firstLineChars="200"/>
        <w:jc w:val="left"/>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lang w:eastAsia="zh-CN"/>
        </w:rPr>
        <w:t>专项资金（重点项目）</w:t>
      </w:r>
      <w:r>
        <w:rPr>
          <w:rFonts w:hint="default" w:ascii="Times New Roman" w:hAnsi="Times New Roman" w:eastAsia="方正小标宋_GBK" w:cs="Times New Roman"/>
          <w:sz w:val="36"/>
          <w:szCs w:val="36"/>
        </w:rPr>
        <w:t>绩效自评价报告</w:t>
      </w:r>
    </w:p>
    <w:p w14:paraId="64224179">
      <w:pPr>
        <w:pageBreakBefore w:val="0"/>
        <w:widowControl/>
        <w:kinsoku/>
        <w:wordWrap/>
        <w:overflowPunct/>
        <w:topLinePunct w:val="0"/>
        <w:autoSpaceDE/>
        <w:autoSpaceDN/>
        <w:bidi w:val="0"/>
        <w:adjustRightInd/>
        <w:spacing w:line="540" w:lineRule="exact"/>
        <w:ind w:firstLine="640" w:firstLineChars="200"/>
        <w:jc w:val="left"/>
        <w:textAlignment w:val="auto"/>
        <w:rPr>
          <w:rFonts w:hint="eastAsia" w:ascii="黑体" w:hAnsi="黑体" w:eastAsia="黑体" w:cs="黑体"/>
          <w:kern w:val="0"/>
          <w:sz w:val="24"/>
          <w:szCs w:val="24"/>
        </w:rPr>
      </w:pPr>
      <w:r>
        <w:rPr>
          <w:rFonts w:hint="eastAsia" w:ascii="黑体" w:hAnsi="黑体" w:eastAsia="黑体" w:cs="黑体"/>
          <w:color w:val="000000"/>
          <w:kern w:val="0"/>
          <w:sz w:val="32"/>
          <w:szCs w:val="32"/>
        </w:rPr>
        <w:t>一、项目概况</w:t>
      </w:r>
    </w:p>
    <w:p w14:paraId="332D1934">
      <w:pPr>
        <w:pageBreakBefore w:val="0"/>
        <w:widowControl/>
        <w:kinsoku/>
        <w:wordWrap/>
        <w:overflowPunct/>
        <w:topLinePunct w:val="0"/>
        <w:autoSpaceDE/>
        <w:autoSpaceDN/>
        <w:bidi w:val="0"/>
        <w:adjustRightInd/>
        <w:spacing w:line="54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（一）项目基本情况</w:t>
      </w:r>
    </w:p>
    <w:p w14:paraId="16EC6263">
      <w:pPr>
        <w:pageBreakBefore w:val="0"/>
        <w:widowControl/>
        <w:kinsoku/>
        <w:wordWrap/>
        <w:overflowPunct/>
        <w:topLinePunct w:val="0"/>
        <w:autoSpaceDE/>
        <w:autoSpaceDN/>
        <w:bidi w:val="0"/>
        <w:adjustRightInd/>
        <w:spacing w:line="540" w:lineRule="exact"/>
        <w:ind w:firstLine="640" w:firstLineChars="200"/>
        <w:jc w:val="left"/>
        <w:textAlignment w:val="auto"/>
        <w:rPr>
          <w:rFonts w:hint="eastAsia" w:ascii="仿宋_GB2312" w:hAnsi="仿宋_GB2312" w:eastAsia="仿宋_GB2312" w:cs="仿宋_GB2312"/>
          <w:i w:val="0"/>
          <w:strike w:val="0"/>
          <w:color w:val="000000"/>
          <w:sz w:val="32"/>
          <w:u w:val="none"/>
        </w:rPr>
      </w:pPr>
      <w:r>
        <w:rPr>
          <w:rFonts w:hint="eastAsia" w:ascii="仿宋_GB2312" w:hAnsi="仿宋_GB2312" w:eastAsia="仿宋_GB2312" w:cs="仿宋_GB2312"/>
          <w:i w:val="0"/>
          <w:strike w:val="0"/>
          <w:color w:val="000000"/>
          <w:sz w:val="32"/>
          <w:u w:val="none"/>
        </w:rPr>
        <w:t>2018年4月，市卫健委、科技局、财政局、人社局四部门联合印发《进一步推进南京市卫生与健康科技创新的实施意见》，明确设立“南京市卫生科技发展专项资金”，市财政每年</w:t>
      </w:r>
      <w:r>
        <w:rPr>
          <w:rFonts w:hint="eastAsia" w:ascii="仿宋_GB2312" w:hAnsi="仿宋_GB2312" w:eastAsia="仿宋_GB2312" w:cs="仿宋_GB2312"/>
          <w:i w:val="0"/>
          <w:strike w:val="0"/>
          <w:color w:val="000000"/>
          <w:sz w:val="32"/>
          <w:u w:val="none"/>
          <w:lang w:eastAsia="zh-CN"/>
        </w:rPr>
        <w:t>安排专项资金预算</w:t>
      </w:r>
      <w:r>
        <w:rPr>
          <w:rFonts w:hint="eastAsia" w:ascii="仿宋_GB2312" w:hAnsi="仿宋_GB2312" w:eastAsia="仿宋_GB2312" w:cs="仿宋_GB2312"/>
          <w:i w:val="0"/>
          <w:strike w:val="0"/>
          <w:color w:val="000000"/>
          <w:sz w:val="32"/>
          <w:u w:val="none"/>
        </w:rPr>
        <w:t>，用于支持卫生科教工作发展。我委以专项资金为主要依托，以项目化方式推进全系统科教工作持续提升。</w:t>
      </w:r>
    </w:p>
    <w:p w14:paraId="12BDAEF7">
      <w:pPr>
        <w:pageBreakBefore w:val="0"/>
        <w:widowControl/>
        <w:kinsoku/>
        <w:wordWrap/>
        <w:overflowPunct/>
        <w:topLinePunct w:val="0"/>
        <w:autoSpaceDE/>
        <w:autoSpaceDN/>
        <w:bidi w:val="0"/>
        <w:adjustRightInd/>
        <w:spacing w:line="540" w:lineRule="exact"/>
        <w:ind w:firstLine="640" w:firstLineChars="200"/>
        <w:jc w:val="left"/>
        <w:textAlignment w:val="auto"/>
        <w:rPr>
          <w:rFonts w:hint="eastAsia" w:ascii="仿宋_GB2312" w:hAnsi="仿宋_GB2312" w:eastAsia="仿宋_GB2312" w:cs="仿宋_GB2312"/>
          <w:i w:val="0"/>
          <w:strike w:val="0"/>
          <w:color w:val="000000"/>
          <w:sz w:val="32"/>
          <w:u w:val="none"/>
        </w:rPr>
      </w:pPr>
      <w:r>
        <w:rPr>
          <w:rFonts w:hint="eastAsia" w:ascii="仿宋_GB2312" w:hAnsi="仿宋_GB2312" w:eastAsia="仿宋_GB2312" w:cs="仿宋_GB2312"/>
          <w:bCs/>
          <w:sz w:val="32"/>
          <w:szCs w:val="32"/>
        </w:rPr>
        <w:t>根据国家卫健委《关于全面推进卫生与健康科技创新的指导意见》，市委、市政府《关于建设具有全球影响力创新名城的若干政策措施》等文件精神，大力实施“科教兴卫”战略，</w:t>
      </w:r>
      <w:r>
        <w:rPr>
          <w:rFonts w:hint="eastAsia" w:ascii="仿宋_GB2312" w:hAnsi="仿宋_GB2312" w:eastAsia="仿宋_GB2312" w:cs="仿宋_GB2312"/>
          <w:bCs/>
          <w:sz w:val="32"/>
          <w:szCs w:val="32"/>
          <w:lang w:eastAsia="zh-CN"/>
        </w:rPr>
        <w:t>医学科技发展专项资金中包括</w:t>
      </w:r>
      <w:r>
        <w:rPr>
          <w:rFonts w:hint="eastAsia" w:ascii="仿宋_GB2312" w:hAnsi="仿宋_GB2312" w:eastAsia="仿宋_GB2312" w:cs="仿宋_GB2312"/>
          <w:bCs/>
          <w:sz w:val="32"/>
          <w:szCs w:val="32"/>
        </w:rPr>
        <w:t>南京市医学重点专科发展专项资金，支持我市医疗单位发展重点专科，提升医疗技术水平、管理水平与综合竞争力。</w:t>
      </w:r>
    </w:p>
    <w:p w14:paraId="6A9E73EF">
      <w:pPr>
        <w:pageBreakBefore w:val="0"/>
        <w:widowControl/>
        <w:kinsoku/>
        <w:wordWrap/>
        <w:overflowPunct/>
        <w:topLinePunct w:val="0"/>
        <w:autoSpaceDE/>
        <w:autoSpaceDN/>
        <w:bidi w:val="0"/>
        <w:adjustRightInd/>
        <w:spacing w:line="54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（二）项目资金情况</w:t>
      </w:r>
    </w:p>
    <w:p w14:paraId="17DC38E2">
      <w:pPr>
        <w:pageBreakBefore w:val="0"/>
        <w:widowControl/>
        <w:kinsoku/>
        <w:wordWrap/>
        <w:overflowPunct/>
        <w:topLinePunct w:val="0"/>
        <w:autoSpaceDE/>
        <w:autoSpaceDN/>
        <w:bidi w:val="0"/>
        <w:adjustRightInd/>
        <w:spacing w:line="54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2023年度卫生科技发展专项预算1.33亿元，年度分配资金合计1.33亿元，主要用于</w:t>
      </w:r>
      <w:r>
        <w:rPr>
          <w:rFonts w:hint="eastAsia" w:ascii="仿宋_GB2312" w:hAnsi="仿宋_GB2312" w:eastAsia="仿宋_GB2312" w:cs="仿宋_GB2312"/>
          <w:i w:val="0"/>
          <w:strike w:val="0"/>
          <w:color w:val="000000"/>
          <w:sz w:val="32"/>
          <w:u w:val="none"/>
        </w:rPr>
        <w:t>住院医师规范化培训</w:t>
      </w:r>
      <w:r>
        <w:rPr>
          <w:rFonts w:hint="eastAsia" w:ascii="仿宋_GB2312" w:hAnsi="仿宋_GB2312" w:eastAsia="仿宋_GB2312" w:cs="仿宋_GB2312"/>
          <w:i w:val="0"/>
          <w:strike w:val="0"/>
          <w:color w:val="000000"/>
          <w:sz w:val="32"/>
          <w:u w:val="none"/>
          <w:lang w:eastAsia="zh-CN"/>
        </w:rPr>
        <w:t>、</w:t>
      </w:r>
      <w:r>
        <w:rPr>
          <w:rFonts w:hint="eastAsia" w:ascii="仿宋_GB2312" w:hAnsi="仿宋_GB2312" w:eastAsia="仿宋_GB2312" w:cs="仿宋_GB2312"/>
          <w:i w:val="0"/>
          <w:strike w:val="0"/>
          <w:color w:val="000000"/>
          <w:sz w:val="32"/>
          <w:u w:val="none"/>
        </w:rPr>
        <w:t>省“十四五卫生健康科教能力提升工程”市级配套</w:t>
      </w:r>
      <w:r>
        <w:rPr>
          <w:rFonts w:hint="eastAsia" w:ascii="仿宋_GB2312" w:hAnsi="仿宋_GB2312" w:eastAsia="仿宋_GB2312" w:cs="仿宋_GB2312"/>
          <w:i w:val="0"/>
          <w:strike w:val="0"/>
          <w:color w:val="000000"/>
          <w:sz w:val="32"/>
          <w:u w:val="none"/>
          <w:lang w:eastAsia="zh-CN"/>
        </w:rPr>
        <w:t>、</w:t>
      </w:r>
      <w:r>
        <w:rPr>
          <w:rFonts w:hint="eastAsia" w:ascii="仿宋_GB2312" w:hAnsi="仿宋_GB2312" w:eastAsia="仿宋_GB2312" w:cs="仿宋_GB2312"/>
          <w:i w:val="0"/>
          <w:strike w:val="0"/>
          <w:color w:val="000000"/>
          <w:sz w:val="32"/>
          <w:u w:val="none"/>
        </w:rPr>
        <w:t>南京市医学重点实验室建设</w:t>
      </w:r>
      <w:r>
        <w:rPr>
          <w:rFonts w:hint="eastAsia" w:ascii="仿宋_GB2312" w:hAnsi="仿宋_GB2312" w:eastAsia="仿宋_GB2312" w:cs="仿宋_GB2312"/>
          <w:i w:val="0"/>
          <w:strike w:val="0"/>
          <w:color w:val="000000"/>
          <w:sz w:val="32"/>
          <w:u w:val="none"/>
          <w:lang w:eastAsia="zh-CN"/>
        </w:rPr>
        <w:t>、</w:t>
      </w:r>
      <w:r>
        <w:rPr>
          <w:rFonts w:hint="eastAsia" w:ascii="仿宋_GB2312" w:hAnsi="仿宋_GB2312" w:eastAsia="仿宋_GB2312" w:cs="仿宋_GB2312"/>
          <w:i w:val="0"/>
          <w:strike w:val="0"/>
          <w:color w:val="000000"/>
          <w:sz w:val="32"/>
          <w:u w:val="none"/>
        </w:rPr>
        <w:t>2023年度市卫生科技发展专项资金项目（课题）</w:t>
      </w:r>
      <w:r>
        <w:rPr>
          <w:rFonts w:hint="eastAsia" w:ascii="仿宋_GB2312" w:hAnsi="仿宋_GB2312" w:eastAsia="仿宋_GB2312" w:cs="仿宋_GB2312"/>
          <w:i w:val="0"/>
          <w:strike w:val="0"/>
          <w:color w:val="000000"/>
          <w:sz w:val="32"/>
          <w:u w:val="none"/>
          <w:lang w:eastAsia="zh-CN"/>
        </w:rPr>
        <w:t>、</w:t>
      </w:r>
      <w:r>
        <w:rPr>
          <w:rFonts w:hint="eastAsia" w:ascii="仿宋_GB2312" w:hAnsi="仿宋_GB2312" w:eastAsia="仿宋_GB2312" w:cs="仿宋_GB2312"/>
          <w:i w:val="0"/>
          <w:strike w:val="0"/>
          <w:color w:val="000000"/>
          <w:sz w:val="32"/>
          <w:u w:val="none"/>
        </w:rPr>
        <w:t>第二轮临床医学中心建设</w:t>
      </w:r>
      <w:r>
        <w:rPr>
          <w:rFonts w:hint="eastAsia" w:ascii="仿宋_GB2312" w:hAnsi="仿宋_GB2312" w:eastAsia="仿宋_GB2312" w:cs="仿宋_GB2312"/>
          <w:i w:val="0"/>
          <w:strike w:val="0"/>
          <w:color w:val="000000"/>
          <w:sz w:val="32"/>
          <w:u w:val="none"/>
          <w:lang w:eastAsia="zh-CN"/>
        </w:rPr>
        <w:t>、</w:t>
      </w:r>
      <w:r>
        <w:rPr>
          <w:rFonts w:hint="eastAsia" w:ascii="仿宋_GB2312" w:hAnsi="仿宋_GB2312" w:eastAsia="仿宋_GB2312" w:cs="仿宋_GB2312"/>
          <w:i w:val="0"/>
          <w:strike w:val="0"/>
          <w:color w:val="000000"/>
          <w:sz w:val="32"/>
          <w:u w:val="none"/>
        </w:rPr>
        <w:t>2021-2022年度医学科学技术成果奖励</w:t>
      </w:r>
      <w:r>
        <w:rPr>
          <w:rFonts w:hint="eastAsia" w:ascii="仿宋_GB2312" w:hAnsi="仿宋_GB2312" w:eastAsia="仿宋_GB2312" w:cs="仿宋_GB2312"/>
          <w:i w:val="0"/>
          <w:strike w:val="0"/>
          <w:color w:val="000000"/>
          <w:sz w:val="32"/>
          <w:u w:val="none"/>
          <w:lang w:eastAsia="zh-CN"/>
        </w:rPr>
        <w:t>、</w:t>
      </w:r>
      <w:r>
        <w:rPr>
          <w:rFonts w:hint="eastAsia" w:ascii="仿宋_GB2312" w:hAnsi="仿宋_GB2312" w:eastAsia="仿宋_GB2312" w:cs="仿宋_GB2312"/>
          <w:i w:val="0"/>
          <w:strike w:val="0"/>
          <w:color w:val="000000"/>
          <w:sz w:val="32"/>
          <w:u w:val="none"/>
        </w:rPr>
        <w:t>科教管理工作</w:t>
      </w:r>
      <w:r>
        <w:rPr>
          <w:rFonts w:hint="eastAsia" w:ascii="仿宋_GB2312" w:hAnsi="仿宋_GB2312" w:eastAsia="仿宋_GB2312" w:cs="仿宋_GB2312"/>
          <w:i w:val="0"/>
          <w:strike w:val="0"/>
          <w:color w:val="000000"/>
          <w:sz w:val="32"/>
          <w:u w:val="none"/>
          <w:lang w:eastAsia="zh-CN"/>
        </w:rPr>
        <w:t>、市级重点专科建设、中医药传承创新发展</w:t>
      </w:r>
      <w:r>
        <w:rPr>
          <w:rFonts w:hint="eastAsia" w:ascii="仿宋_GB2312" w:hAnsi="仿宋_GB2312" w:eastAsia="仿宋_GB2312" w:cs="仿宋_GB2312"/>
          <w:i w:val="0"/>
          <w:strike w:val="0"/>
          <w:color w:val="000000"/>
          <w:sz w:val="32"/>
          <w:u w:val="none"/>
        </w:rPr>
        <w:t>等。</w:t>
      </w:r>
      <w:r>
        <w:rPr>
          <w:rFonts w:hint="eastAsia" w:ascii="仿宋_GB2312" w:hAnsi="仿宋_GB2312" w:eastAsia="仿宋_GB2312" w:cs="仿宋_GB2312"/>
          <w:b w:val="0"/>
          <w:bCs w:val="0"/>
          <w:color w:val="auto"/>
          <w:kern w:val="2"/>
          <w:sz w:val="32"/>
          <w:szCs w:val="32"/>
          <w:lang w:val="en-US" w:eastAsia="zh-CN" w:bidi="ar-SA"/>
        </w:rPr>
        <w:t>年末实际支付金额6416.7万元，执行率48.25%。</w:t>
      </w:r>
    </w:p>
    <w:p w14:paraId="4381562B">
      <w:pPr>
        <w:pageBreakBefore w:val="0"/>
        <w:widowControl/>
        <w:kinsoku/>
        <w:wordWrap/>
        <w:overflowPunct/>
        <w:topLinePunct w:val="0"/>
        <w:autoSpaceDE/>
        <w:autoSpaceDN/>
        <w:bidi w:val="0"/>
        <w:adjustRightInd/>
        <w:spacing w:line="540" w:lineRule="exact"/>
        <w:ind w:firstLine="640" w:firstLineChars="20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color w:val="000000"/>
          <w:kern w:val="0"/>
          <w:sz w:val="32"/>
          <w:szCs w:val="32"/>
        </w:rPr>
        <w:t>（三）绩效目标</w:t>
      </w:r>
    </w:p>
    <w:p w14:paraId="74000164">
      <w:pPr>
        <w:pageBreakBefore w:val="0"/>
        <w:widowControl/>
        <w:kinsoku/>
        <w:wordWrap/>
        <w:overflowPunct/>
        <w:topLinePunct w:val="0"/>
        <w:autoSpaceDE/>
        <w:autoSpaceDN/>
        <w:bidi w:val="0"/>
        <w:adjustRightInd/>
        <w:spacing w:line="54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绩效总目标：</w:t>
      </w:r>
    </w:p>
    <w:p w14:paraId="412485F7">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i w:val="0"/>
          <w:strike w:val="0"/>
          <w:color w:val="000000"/>
          <w:sz w:val="32"/>
          <w:u w:val="none"/>
        </w:rPr>
        <w:t>1.持续推进学科建设。以临床医学中心建设为抓手，聚力打造高峰学科。</w:t>
      </w:r>
    </w:p>
    <w:p w14:paraId="1B15A9CF">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i w:val="0"/>
          <w:strike w:val="0"/>
          <w:color w:val="000000"/>
          <w:sz w:val="32"/>
          <w:u w:val="none"/>
          <w:lang w:val="en-US" w:eastAsia="zh-CN"/>
        </w:rPr>
        <w:t>2.</w:t>
      </w:r>
      <w:r>
        <w:rPr>
          <w:rFonts w:hint="eastAsia" w:ascii="仿宋_GB2312" w:hAnsi="仿宋_GB2312" w:eastAsia="仿宋_GB2312" w:cs="仿宋_GB2312"/>
          <w:i w:val="0"/>
          <w:strike w:val="0"/>
          <w:color w:val="000000"/>
          <w:sz w:val="32"/>
          <w:u w:val="none"/>
        </w:rPr>
        <w:t>着力夯实科研平台载体。</w:t>
      </w:r>
      <w:r>
        <w:rPr>
          <w:rFonts w:hint="eastAsia" w:ascii="仿宋_GB2312" w:hAnsi="仿宋_GB2312" w:eastAsia="仿宋_GB2312" w:cs="仿宋_GB2312"/>
          <w:b w:val="0"/>
          <w:bCs/>
          <w:i w:val="0"/>
          <w:strike w:val="0"/>
          <w:color w:val="000000"/>
          <w:sz w:val="32"/>
          <w:u w:val="none"/>
        </w:rPr>
        <w:t>一是</w:t>
      </w:r>
      <w:r>
        <w:rPr>
          <w:rFonts w:hint="eastAsia" w:ascii="仿宋_GB2312" w:hAnsi="仿宋_GB2312" w:eastAsia="仿宋_GB2312" w:cs="仿宋_GB2312"/>
          <w:i w:val="0"/>
          <w:strike w:val="0"/>
          <w:color w:val="000000"/>
          <w:sz w:val="32"/>
          <w:u w:val="none"/>
        </w:rPr>
        <w:t>开展医学重点实验室遴选建设。</w:t>
      </w:r>
      <w:r>
        <w:rPr>
          <w:rFonts w:hint="eastAsia" w:ascii="仿宋_GB2312" w:hAnsi="仿宋_GB2312" w:eastAsia="仿宋_GB2312" w:cs="仿宋_GB2312"/>
          <w:b w:val="0"/>
          <w:bCs/>
          <w:i w:val="0"/>
          <w:strike w:val="0"/>
          <w:color w:val="000000"/>
          <w:sz w:val="32"/>
          <w:u w:val="none"/>
        </w:rPr>
        <w:t>二是</w:t>
      </w:r>
      <w:r>
        <w:rPr>
          <w:rFonts w:hint="eastAsia" w:ascii="仿宋_GB2312" w:hAnsi="仿宋_GB2312" w:eastAsia="仿宋_GB2312" w:cs="仿宋_GB2312"/>
          <w:i w:val="0"/>
          <w:strike w:val="0"/>
          <w:color w:val="000000"/>
          <w:sz w:val="32"/>
          <w:u w:val="none"/>
        </w:rPr>
        <w:t>以委重大科技项目形式支持建设以鼓楼医院样本库为中心库、其他医疗机构样本库为分库的全市多中心临床生物样本库。</w:t>
      </w:r>
      <w:r>
        <w:rPr>
          <w:rFonts w:hint="eastAsia" w:ascii="仿宋_GB2312" w:hAnsi="仿宋_GB2312" w:eastAsia="仿宋_GB2312" w:cs="仿宋_GB2312"/>
          <w:b w:val="0"/>
          <w:bCs/>
          <w:i w:val="0"/>
          <w:strike w:val="0"/>
          <w:color w:val="000000"/>
          <w:sz w:val="32"/>
          <w:u w:val="none"/>
        </w:rPr>
        <w:t>三是</w:t>
      </w:r>
      <w:r>
        <w:rPr>
          <w:rFonts w:hint="eastAsia" w:ascii="仿宋_GB2312" w:hAnsi="仿宋_GB2312" w:eastAsia="仿宋_GB2312" w:cs="仿宋_GB2312"/>
          <w:i w:val="0"/>
          <w:strike w:val="0"/>
          <w:color w:val="000000"/>
          <w:sz w:val="32"/>
          <w:u w:val="none"/>
        </w:rPr>
        <w:t>深化研究型医院建设。</w:t>
      </w:r>
    </w:p>
    <w:p w14:paraId="5EA1642F">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i w:val="0"/>
          <w:strike w:val="0"/>
          <w:color w:val="000000"/>
          <w:sz w:val="32"/>
          <w:u w:val="none"/>
          <w:lang w:val="en-US" w:eastAsia="zh-CN"/>
        </w:rPr>
        <w:t>3.</w:t>
      </w:r>
      <w:r>
        <w:rPr>
          <w:rFonts w:hint="eastAsia" w:ascii="仿宋_GB2312" w:hAnsi="仿宋_GB2312" w:eastAsia="仿宋_GB2312" w:cs="仿宋_GB2312"/>
          <w:i w:val="0"/>
          <w:strike w:val="0"/>
          <w:color w:val="000000"/>
          <w:sz w:val="32"/>
          <w:u w:val="none"/>
        </w:rPr>
        <w:t>加快推进医学科技创新和成果转化。</w:t>
      </w:r>
      <w:r>
        <w:rPr>
          <w:rFonts w:hint="eastAsia" w:ascii="仿宋_GB2312" w:hAnsi="仿宋_GB2312" w:eastAsia="仿宋_GB2312" w:cs="仿宋_GB2312"/>
          <w:b w:val="0"/>
          <w:bCs/>
          <w:i w:val="0"/>
          <w:strike w:val="0"/>
          <w:color w:val="000000"/>
          <w:sz w:val="32"/>
          <w:u w:val="none"/>
        </w:rPr>
        <w:t>一是</w:t>
      </w:r>
      <w:r>
        <w:rPr>
          <w:rFonts w:hint="eastAsia" w:ascii="仿宋_GB2312" w:hAnsi="仿宋_GB2312" w:eastAsia="仿宋_GB2312" w:cs="仿宋_GB2312"/>
          <w:i w:val="0"/>
          <w:strike w:val="0"/>
          <w:color w:val="000000"/>
          <w:sz w:val="32"/>
          <w:u w:val="none"/>
        </w:rPr>
        <w:t>组织实施市卫生科技发展专项。</w:t>
      </w:r>
      <w:r>
        <w:rPr>
          <w:rFonts w:hint="eastAsia" w:ascii="仿宋_GB2312" w:hAnsi="仿宋_GB2312" w:eastAsia="仿宋_GB2312" w:cs="仿宋_GB2312"/>
          <w:b w:val="0"/>
          <w:bCs/>
          <w:i w:val="0"/>
          <w:strike w:val="0"/>
          <w:color w:val="000000"/>
          <w:sz w:val="32"/>
          <w:u w:val="none"/>
        </w:rPr>
        <w:t>二是</w:t>
      </w:r>
      <w:r>
        <w:rPr>
          <w:rFonts w:hint="eastAsia" w:ascii="仿宋_GB2312" w:hAnsi="仿宋_GB2312" w:eastAsia="仿宋_GB2312" w:cs="仿宋_GB2312"/>
          <w:i w:val="0"/>
          <w:strike w:val="0"/>
          <w:color w:val="000000"/>
          <w:sz w:val="32"/>
          <w:u w:val="none"/>
        </w:rPr>
        <w:t>体系化推进科技成果转化。</w:t>
      </w:r>
    </w:p>
    <w:p w14:paraId="53708FF3">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i w:val="0"/>
          <w:strike w:val="0"/>
          <w:color w:val="000000"/>
          <w:sz w:val="32"/>
          <w:u w:val="none"/>
        </w:rPr>
      </w:pPr>
      <w:r>
        <w:rPr>
          <w:rFonts w:hint="eastAsia" w:ascii="仿宋_GB2312" w:hAnsi="仿宋_GB2312" w:eastAsia="仿宋_GB2312" w:cs="仿宋_GB2312"/>
          <w:i w:val="0"/>
          <w:strike w:val="0"/>
          <w:color w:val="000000"/>
          <w:sz w:val="32"/>
          <w:u w:val="none"/>
          <w:lang w:val="en-US" w:eastAsia="zh-CN"/>
        </w:rPr>
        <w:t>4.</w:t>
      </w:r>
      <w:r>
        <w:rPr>
          <w:rFonts w:hint="eastAsia" w:ascii="仿宋_GB2312" w:hAnsi="仿宋_GB2312" w:eastAsia="仿宋_GB2312" w:cs="仿宋_GB2312"/>
          <w:i w:val="0"/>
          <w:strike w:val="0"/>
          <w:color w:val="000000"/>
          <w:sz w:val="32"/>
          <w:u w:val="none"/>
        </w:rPr>
        <w:t>不断强化科教管理。</w:t>
      </w:r>
      <w:r>
        <w:rPr>
          <w:rFonts w:hint="eastAsia" w:ascii="仿宋_GB2312" w:hAnsi="仿宋_GB2312" w:eastAsia="仿宋_GB2312" w:cs="仿宋_GB2312"/>
          <w:b w:val="0"/>
          <w:bCs/>
          <w:i w:val="0"/>
          <w:strike w:val="0"/>
          <w:color w:val="000000"/>
          <w:sz w:val="32"/>
          <w:u w:val="none"/>
        </w:rPr>
        <w:t>一是</w:t>
      </w:r>
      <w:r>
        <w:rPr>
          <w:rFonts w:hint="eastAsia" w:ascii="仿宋_GB2312" w:hAnsi="仿宋_GB2312" w:eastAsia="仿宋_GB2312" w:cs="仿宋_GB2312"/>
          <w:i w:val="0"/>
          <w:strike w:val="0"/>
          <w:color w:val="000000"/>
          <w:sz w:val="32"/>
          <w:u w:val="none"/>
        </w:rPr>
        <w:t>完善制度体系</w:t>
      </w:r>
      <w:r>
        <w:rPr>
          <w:rFonts w:hint="eastAsia" w:ascii="仿宋_GB2312" w:hAnsi="仿宋_GB2312" w:eastAsia="仿宋_GB2312" w:cs="仿宋_GB2312"/>
          <w:b w:val="0"/>
          <w:bCs w:val="0"/>
          <w:i w:val="0"/>
          <w:strike w:val="0"/>
          <w:color w:val="000000"/>
          <w:sz w:val="32"/>
          <w:u w:val="none"/>
        </w:rPr>
        <w:t>。二是</w:t>
      </w:r>
      <w:r>
        <w:rPr>
          <w:rFonts w:hint="eastAsia" w:ascii="仿宋_GB2312" w:hAnsi="仿宋_GB2312" w:eastAsia="仿宋_GB2312" w:cs="仿宋_GB2312"/>
          <w:i w:val="0"/>
          <w:strike w:val="0"/>
          <w:color w:val="000000"/>
          <w:sz w:val="32"/>
          <w:u w:val="none"/>
        </w:rPr>
        <w:t>创新性开展科教管理质量控制。</w:t>
      </w:r>
    </w:p>
    <w:p w14:paraId="00E03C8B">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i w:val="0"/>
          <w:strike w:val="0"/>
          <w:color w:val="000000"/>
          <w:sz w:val="32"/>
          <w:u w:val="none"/>
        </w:rPr>
      </w:pPr>
      <w:r>
        <w:rPr>
          <w:rFonts w:hint="eastAsia" w:ascii="仿宋_GB2312" w:hAnsi="仿宋_GB2312" w:eastAsia="仿宋_GB2312" w:cs="仿宋_GB2312"/>
          <w:i w:val="0"/>
          <w:strike w:val="0"/>
          <w:color w:val="000000"/>
          <w:sz w:val="32"/>
          <w:u w:val="none"/>
          <w:lang w:val="en-US" w:eastAsia="zh-CN"/>
        </w:rPr>
        <w:t>5.</w:t>
      </w:r>
      <w:r>
        <w:rPr>
          <w:rFonts w:hint="eastAsia" w:ascii="仿宋_GB2312" w:hAnsi="仿宋_GB2312" w:eastAsia="仿宋_GB2312" w:cs="仿宋_GB2312"/>
          <w:color w:val="auto"/>
          <w:sz w:val="32"/>
          <w:szCs w:val="32"/>
        </w:rPr>
        <w:t>加快医学重点专科建设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努力提高医疗服务质量，积极开展技术创新和科学研究，强化人才梯队建设，推动专科不断发展。建立完善的资金管理制度，合理使用，定期考核；按质按量提高资金的使用的效能，促进</w:t>
      </w:r>
      <w:r>
        <w:rPr>
          <w:rFonts w:hint="eastAsia" w:ascii="仿宋_GB2312" w:hAnsi="仿宋_GB2312" w:eastAsia="仿宋_GB2312" w:cs="仿宋_GB2312"/>
          <w:color w:val="auto"/>
          <w:sz w:val="32"/>
          <w:szCs w:val="32"/>
          <w:lang w:val="en-US" w:eastAsia="zh-CN"/>
        </w:rPr>
        <w:t>专科</w:t>
      </w:r>
      <w:r>
        <w:rPr>
          <w:rFonts w:hint="eastAsia" w:ascii="仿宋_GB2312" w:hAnsi="仿宋_GB2312" w:eastAsia="仿宋_GB2312" w:cs="仿宋_GB2312"/>
          <w:color w:val="auto"/>
          <w:sz w:val="32"/>
          <w:szCs w:val="32"/>
        </w:rPr>
        <w:t>的综合发展。</w:t>
      </w:r>
    </w:p>
    <w:p w14:paraId="1386E59E">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i w:val="0"/>
          <w:strike w:val="0"/>
          <w:color w:val="000000"/>
          <w:sz w:val="32"/>
          <w:u w:val="none"/>
          <w:lang w:val="en-US" w:eastAsia="zh-CN"/>
        </w:rPr>
      </w:pPr>
      <w:r>
        <w:rPr>
          <w:rFonts w:hint="eastAsia" w:ascii="仿宋_GB2312" w:hAnsi="仿宋_GB2312" w:eastAsia="仿宋_GB2312" w:cs="仿宋_GB2312"/>
          <w:i w:val="0"/>
          <w:strike w:val="0"/>
          <w:color w:val="000000"/>
          <w:sz w:val="32"/>
          <w:u w:val="none"/>
          <w:lang w:val="en-US" w:eastAsia="zh-CN"/>
        </w:rPr>
        <w:t>6</w:t>
      </w:r>
      <w:r>
        <w:rPr>
          <w:rFonts w:hint="eastAsia" w:ascii="仿宋_GB2312" w:hAnsi="仿宋_GB2312" w:eastAsia="仿宋_GB2312" w:cs="仿宋_GB2312"/>
          <w:i w:val="0"/>
          <w:strike w:val="0"/>
          <w:color w:val="000000"/>
          <w:sz w:val="32"/>
          <w:u w:val="none"/>
        </w:rPr>
        <w:t>.加强中医医疗机构建设，将中医医疗机构建设纳入区域卫生健康发展规划和医疗机构设置规划并优先发展，优化中医医疗资源配置，积极创建国家中医医学中心、区域中医医疗中心；实现基层中医药服务全覆盖，拓展多样化中医服务阵地，提升中医药信息化水平等。</w:t>
      </w:r>
    </w:p>
    <w:p w14:paraId="2D054B8B">
      <w:pPr>
        <w:pageBreakBefore w:val="0"/>
        <w:widowControl/>
        <w:kinsoku/>
        <w:wordWrap/>
        <w:overflowPunct/>
        <w:topLinePunct w:val="0"/>
        <w:autoSpaceDE/>
        <w:autoSpaceDN/>
        <w:bidi w:val="0"/>
        <w:adjustRightInd/>
        <w:spacing w:line="54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年度绩效目标：</w:t>
      </w:r>
    </w:p>
    <w:p w14:paraId="0F2FC689">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i w:val="0"/>
          <w:strike w:val="0"/>
          <w:color w:val="000000"/>
          <w:sz w:val="32"/>
          <w:u w:val="none"/>
        </w:rPr>
      </w:pPr>
      <w:r>
        <w:rPr>
          <w:rFonts w:hint="eastAsia" w:ascii="仿宋_GB2312" w:hAnsi="仿宋_GB2312" w:eastAsia="仿宋_GB2312" w:cs="仿宋_GB2312"/>
          <w:i w:val="0"/>
          <w:strike w:val="0"/>
          <w:color w:val="000000"/>
          <w:sz w:val="32"/>
          <w:u w:val="none"/>
        </w:rPr>
        <w:t>1.启动市级研究型医院评选</w:t>
      </w:r>
      <w:r>
        <w:rPr>
          <w:rFonts w:hint="eastAsia" w:ascii="仿宋_GB2312" w:hAnsi="仿宋_GB2312" w:eastAsia="仿宋_GB2312" w:cs="仿宋_GB2312"/>
          <w:i w:val="0"/>
          <w:strike w:val="0"/>
          <w:color w:val="000000"/>
          <w:sz w:val="32"/>
          <w:u w:val="none"/>
          <w:lang w:eastAsia="zh-CN"/>
        </w:rPr>
        <w:t>；</w:t>
      </w:r>
      <w:r>
        <w:rPr>
          <w:rFonts w:hint="eastAsia" w:ascii="仿宋_GB2312" w:hAnsi="仿宋_GB2312" w:eastAsia="仿宋_GB2312" w:cs="仿宋_GB2312"/>
          <w:i w:val="0"/>
          <w:strike w:val="0"/>
          <w:color w:val="000000"/>
          <w:sz w:val="32"/>
          <w:u w:val="none"/>
        </w:rPr>
        <w:t>支持省医学创新中心、医学重点学科和市临床医学中心建设取得新突破，学科优势进一步显现</w:t>
      </w:r>
      <w:r>
        <w:rPr>
          <w:rFonts w:hint="eastAsia" w:ascii="仿宋_GB2312" w:hAnsi="仿宋_GB2312" w:eastAsia="仿宋_GB2312" w:cs="仿宋_GB2312"/>
          <w:i w:val="0"/>
          <w:strike w:val="0"/>
          <w:color w:val="000000"/>
          <w:sz w:val="32"/>
          <w:u w:val="none"/>
          <w:lang w:eastAsia="zh-CN"/>
        </w:rPr>
        <w:t>；</w:t>
      </w:r>
      <w:r>
        <w:rPr>
          <w:rFonts w:hint="eastAsia" w:ascii="仿宋_GB2312" w:hAnsi="仿宋_GB2312" w:eastAsia="仿宋_GB2312" w:cs="仿宋_GB2312"/>
          <w:i w:val="0"/>
          <w:strike w:val="0"/>
          <w:color w:val="000000"/>
          <w:sz w:val="32"/>
          <w:u w:val="none"/>
        </w:rPr>
        <w:t>医学重点实验室、生物样本库进一步建强，并初步实现对外开放</w:t>
      </w:r>
      <w:r>
        <w:rPr>
          <w:rFonts w:hint="eastAsia" w:ascii="仿宋_GB2312" w:hAnsi="仿宋_GB2312" w:eastAsia="仿宋_GB2312" w:cs="仿宋_GB2312"/>
          <w:i w:val="0"/>
          <w:strike w:val="0"/>
          <w:color w:val="000000"/>
          <w:sz w:val="32"/>
          <w:u w:val="none"/>
          <w:lang w:eastAsia="zh-CN"/>
        </w:rPr>
        <w:t>；</w:t>
      </w:r>
      <w:r>
        <w:rPr>
          <w:rFonts w:hint="eastAsia" w:ascii="仿宋_GB2312" w:hAnsi="仿宋_GB2312" w:eastAsia="仿宋_GB2312" w:cs="仿宋_GB2312"/>
          <w:i w:val="0"/>
          <w:strike w:val="0"/>
          <w:color w:val="000000"/>
          <w:sz w:val="32"/>
          <w:u w:val="none"/>
        </w:rPr>
        <w:t>加大市医学科研项目投入力度，年度立项不少于300项；争取更多住培专业基地入选国家级重点住培基地</w:t>
      </w:r>
      <w:r>
        <w:rPr>
          <w:rFonts w:hint="eastAsia" w:ascii="仿宋_GB2312" w:hAnsi="仿宋_GB2312" w:eastAsia="仿宋_GB2312" w:cs="仿宋_GB2312"/>
          <w:i w:val="0"/>
          <w:strike w:val="0"/>
          <w:color w:val="000000"/>
          <w:sz w:val="32"/>
          <w:u w:val="none"/>
          <w:lang w:eastAsia="zh-CN"/>
        </w:rPr>
        <w:t>；</w:t>
      </w:r>
      <w:r>
        <w:rPr>
          <w:rFonts w:hint="eastAsia" w:ascii="仿宋_GB2312" w:hAnsi="仿宋_GB2312" w:eastAsia="仿宋_GB2312" w:cs="仿宋_GB2312"/>
          <w:i w:val="0"/>
          <w:strike w:val="0"/>
          <w:color w:val="000000"/>
          <w:sz w:val="32"/>
          <w:u w:val="none"/>
        </w:rPr>
        <w:t>加大继续医学教育项目申报工作组织力度，全年立项不少于250项</w:t>
      </w:r>
      <w:r>
        <w:rPr>
          <w:rFonts w:hint="eastAsia" w:ascii="仿宋_GB2312" w:hAnsi="仿宋_GB2312" w:eastAsia="仿宋_GB2312" w:cs="仿宋_GB2312"/>
          <w:i w:val="0"/>
          <w:strike w:val="0"/>
          <w:color w:val="000000"/>
          <w:sz w:val="32"/>
          <w:u w:val="none"/>
          <w:lang w:eastAsia="zh-CN"/>
        </w:rPr>
        <w:t>；</w:t>
      </w:r>
      <w:r>
        <w:rPr>
          <w:rFonts w:hint="eastAsia" w:ascii="仿宋_GB2312" w:hAnsi="仿宋_GB2312" w:eastAsia="仿宋_GB2312" w:cs="仿宋_GB2312"/>
          <w:bCs/>
          <w:color w:val="auto"/>
          <w:sz w:val="32"/>
          <w:szCs w:val="32"/>
        </w:rPr>
        <w:t>建成一批本市具有明显特色和优势的重点学科</w:t>
      </w:r>
      <w:r>
        <w:rPr>
          <w:rFonts w:hint="eastAsia" w:ascii="仿宋_GB2312" w:hAnsi="仿宋_GB2312" w:eastAsia="仿宋_GB2312" w:cs="仿宋_GB2312"/>
          <w:bCs/>
          <w:color w:val="auto"/>
          <w:sz w:val="32"/>
          <w:szCs w:val="32"/>
          <w:lang w:eastAsia="zh-CN"/>
        </w:rPr>
        <w:t>，推动专科</w:t>
      </w:r>
      <w:r>
        <w:rPr>
          <w:rFonts w:hint="eastAsia" w:ascii="仿宋_GB2312" w:hAnsi="仿宋_GB2312" w:eastAsia="仿宋_GB2312" w:cs="仿宋_GB2312"/>
          <w:bCs/>
          <w:color w:val="auto"/>
          <w:sz w:val="32"/>
          <w:szCs w:val="32"/>
          <w:lang w:val="en-US" w:eastAsia="zh-CN"/>
        </w:rPr>
        <w:t>进一步发展，向江苏省重点专科迈进</w:t>
      </w:r>
      <w:r>
        <w:rPr>
          <w:rFonts w:hint="eastAsia" w:ascii="仿宋_GB2312" w:hAnsi="仿宋_GB2312" w:eastAsia="仿宋_GB2312" w:cs="仿宋_GB2312"/>
          <w:i w:val="0"/>
          <w:strike w:val="0"/>
          <w:color w:val="000000"/>
          <w:sz w:val="32"/>
          <w:u w:val="none"/>
        </w:rPr>
        <w:t>。</w:t>
      </w:r>
    </w:p>
    <w:p w14:paraId="0C35D401">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i w:val="0"/>
          <w:strike w:val="0"/>
          <w:color w:val="000000"/>
          <w:sz w:val="32"/>
          <w:u w:val="none"/>
        </w:rPr>
        <w:t>2.加强中医重点专科建设，新建3个</w:t>
      </w:r>
      <w:r>
        <w:rPr>
          <w:rFonts w:hint="eastAsia" w:ascii="仿宋_GB2312" w:hAnsi="仿宋_GB2312" w:eastAsia="仿宋_GB2312" w:cs="仿宋_GB2312"/>
          <w:i w:val="0"/>
          <w:strike w:val="0"/>
          <w:color w:val="000000"/>
          <w:sz w:val="32"/>
          <w:u w:val="none"/>
          <w:lang w:eastAsia="zh-CN"/>
        </w:rPr>
        <w:t>以上</w:t>
      </w:r>
      <w:r>
        <w:rPr>
          <w:rFonts w:hint="eastAsia" w:ascii="仿宋_GB2312" w:hAnsi="仿宋_GB2312" w:eastAsia="仿宋_GB2312" w:cs="仿宋_GB2312"/>
          <w:i w:val="0"/>
          <w:strike w:val="0"/>
          <w:color w:val="000000"/>
          <w:sz w:val="32"/>
          <w:u w:val="none"/>
        </w:rPr>
        <w:t>省级中医重点专科，继续做好现有23个市级中医重点专科建设和名中医工作站建设</w:t>
      </w:r>
      <w:r>
        <w:rPr>
          <w:rFonts w:hint="eastAsia" w:ascii="仿宋_GB2312" w:hAnsi="仿宋_GB2312" w:eastAsia="仿宋_GB2312" w:cs="仿宋_GB2312"/>
          <w:i w:val="0"/>
          <w:strike w:val="0"/>
          <w:color w:val="000000"/>
          <w:sz w:val="32"/>
          <w:u w:val="none"/>
          <w:lang w:eastAsia="zh-CN"/>
        </w:rPr>
        <w:t>；</w:t>
      </w:r>
      <w:r>
        <w:rPr>
          <w:rFonts w:hint="eastAsia" w:ascii="仿宋_GB2312" w:hAnsi="仿宋_GB2312" w:eastAsia="仿宋_GB2312" w:cs="仿宋_GB2312"/>
          <w:i w:val="0"/>
          <w:strike w:val="0"/>
          <w:color w:val="000000"/>
          <w:sz w:val="32"/>
          <w:u w:val="none"/>
        </w:rPr>
        <w:t>名中医工作室基层工作站建设数量</w:t>
      </w:r>
      <w:r>
        <w:rPr>
          <w:rFonts w:hint="eastAsia" w:ascii="仿宋_GB2312" w:hAnsi="仿宋_GB2312" w:eastAsia="仿宋_GB2312" w:cs="仿宋_GB2312"/>
          <w:i w:val="0"/>
          <w:strike w:val="0"/>
          <w:color w:val="000000"/>
          <w:sz w:val="32"/>
          <w:u w:val="none"/>
          <w:lang w:eastAsia="zh-CN"/>
        </w:rPr>
        <w:t>不少于</w:t>
      </w:r>
      <w:r>
        <w:rPr>
          <w:rFonts w:hint="eastAsia" w:ascii="仿宋_GB2312" w:hAnsi="仿宋_GB2312" w:eastAsia="仿宋_GB2312" w:cs="仿宋_GB2312"/>
          <w:i w:val="0"/>
          <w:strike w:val="0"/>
          <w:color w:val="000000"/>
          <w:sz w:val="32"/>
          <w:u w:val="none"/>
          <w:lang w:val="en-US" w:eastAsia="zh-CN"/>
        </w:rPr>
        <w:t>40个；二级以上公立中医院科室达标建设机构数量不少于8个</w:t>
      </w:r>
      <w:r>
        <w:rPr>
          <w:rFonts w:hint="eastAsia" w:ascii="仿宋_GB2312" w:hAnsi="仿宋_GB2312" w:eastAsia="仿宋_GB2312" w:cs="仿宋_GB2312"/>
          <w:i w:val="0"/>
          <w:strike w:val="0"/>
          <w:color w:val="000000"/>
          <w:sz w:val="32"/>
          <w:u w:val="none"/>
          <w:lang w:eastAsia="zh-CN"/>
        </w:rPr>
        <w:t>。</w:t>
      </w:r>
    </w:p>
    <w:p w14:paraId="0E80EC09">
      <w:pPr>
        <w:pageBreakBefore w:val="0"/>
        <w:widowControl/>
        <w:kinsoku/>
        <w:wordWrap/>
        <w:overflowPunct/>
        <w:topLinePunct w:val="0"/>
        <w:autoSpaceDE/>
        <w:autoSpaceDN/>
        <w:bidi w:val="0"/>
        <w:adjustRightInd/>
        <w:spacing w:line="540" w:lineRule="exact"/>
        <w:ind w:firstLine="640" w:firstLineChars="20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二、评价结论</w:t>
      </w:r>
    </w:p>
    <w:p w14:paraId="716754F4">
      <w:pPr>
        <w:keepNext w:val="0"/>
        <w:keepLines w:val="0"/>
        <w:pageBreakBefore w:val="0"/>
        <w:kinsoku/>
        <w:wordWrap/>
        <w:overflowPunct/>
        <w:topLinePunct w:val="0"/>
        <w:autoSpaceDE w:val="0"/>
        <w:autoSpaceDN/>
        <w:bidi w:val="0"/>
        <w:adjustRightInd/>
        <w:snapToGrid/>
        <w:spacing w:line="30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（一）评价对象</w:t>
      </w:r>
    </w:p>
    <w:p w14:paraId="27F980D8">
      <w:pPr>
        <w:keepNext w:val="0"/>
        <w:keepLines w:val="0"/>
        <w:pageBreakBefore w:val="0"/>
        <w:widowControl w:val="0"/>
        <w:kinsoku/>
        <w:wordWrap/>
        <w:overflowPunct/>
        <w:topLinePunct w:val="0"/>
        <w:autoSpaceDE w:val="0"/>
        <w:autoSpaceDN/>
        <w:bidi w:val="0"/>
        <w:adjustRightInd/>
        <w:snapToGrid/>
        <w:spacing w:line="30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各项目实施医疗机构等。</w:t>
      </w:r>
    </w:p>
    <w:p w14:paraId="26D75FE7">
      <w:pPr>
        <w:keepNext w:val="0"/>
        <w:keepLines w:val="0"/>
        <w:pageBreakBefore w:val="0"/>
        <w:kinsoku/>
        <w:wordWrap/>
        <w:overflowPunct/>
        <w:topLinePunct w:val="0"/>
        <w:autoSpaceDE w:val="0"/>
        <w:autoSpaceDN/>
        <w:bidi w:val="0"/>
        <w:adjustRightInd/>
        <w:snapToGrid/>
        <w:spacing w:line="30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（二）评价范围</w:t>
      </w:r>
    </w:p>
    <w:p w14:paraId="21E4CF7C">
      <w:pPr>
        <w:keepNext w:val="0"/>
        <w:keepLines w:val="0"/>
        <w:pageBreakBefore w:val="0"/>
        <w:widowControl/>
        <w:kinsoku/>
        <w:wordWrap/>
        <w:topLinePunct w:val="0"/>
        <w:autoSpaceDN/>
        <w:bidi w:val="0"/>
        <w:adjustRightInd/>
        <w:snapToGrid/>
        <w:spacing w:line="300" w:lineRule="auto"/>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主要对项目的</w:t>
      </w:r>
      <w:r>
        <w:rPr>
          <w:rFonts w:hint="eastAsia" w:ascii="仿宋_GB2312" w:hAnsi="仿宋_GB2312" w:eastAsia="仿宋_GB2312" w:cs="仿宋_GB2312"/>
          <w:sz w:val="32"/>
          <w:szCs w:val="32"/>
          <w:lang w:eastAsia="zh-CN"/>
        </w:rPr>
        <w:t>决策、过程、产出、效益</w:t>
      </w:r>
      <w:r>
        <w:rPr>
          <w:rFonts w:hint="eastAsia" w:ascii="仿宋_GB2312" w:hAnsi="仿宋_GB2312" w:eastAsia="仿宋_GB2312" w:cs="仿宋_GB2312"/>
          <w:sz w:val="32"/>
          <w:szCs w:val="32"/>
        </w:rPr>
        <w:t>四类指标进行绩效评价。</w:t>
      </w:r>
    </w:p>
    <w:p w14:paraId="5AFCB28E">
      <w:pPr>
        <w:keepNext w:val="0"/>
        <w:keepLines w:val="0"/>
        <w:pageBreakBefore w:val="0"/>
        <w:kinsoku/>
        <w:wordWrap/>
        <w:overflowPunct/>
        <w:topLinePunct w:val="0"/>
        <w:autoSpaceDE w:val="0"/>
        <w:autoSpaceDN/>
        <w:bidi w:val="0"/>
        <w:adjustRightInd/>
        <w:snapToGrid/>
        <w:spacing w:line="30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（三）评价结论</w:t>
      </w:r>
    </w:p>
    <w:p w14:paraId="6D7908FD">
      <w:pPr>
        <w:keepNext w:val="0"/>
        <w:keepLines w:val="0"/>
        <w:pageBreakBefore w:val="0"/>
        <w:widowControl/>
        <w:kinsoku/>
        <w:wordWrap/>
        <w:topLinePunct w:val="0"/>
        <w:autoSpaceDN/>
        <w:bidi w:val="0"/>
        <w:adjustRightInd/>
        <w:snapToGrid/>
        <w:spacing w:line="300" w:lineRule="auto"/>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strike w:val="0"/>
          <w:color w:val="000000"/>
          <w:sz w:val="32"/>
          <w:u w:val="none"/>
        </w:rPr>
        <w:t>市卫健委负责资金的分配、审核、绩效评估、检查项目单位资金配套到位情况及资金使用情况的监督检查；各用款单位负责组织项目实施，落实项目推进和资金使用进度，确保资金专款专用，及时提供核算凭证，并确保核算凭证真实、完整，按要求开展绩效自评工作，确保项目资金绩效达到预期目标。</w:t>
      </w:r>
      <w:r>
        <w:rPr>
          <w:rFonts w:hint="eastAsia" w:ascii="仿宋_GB2312" w:hAnsi="仿宋_GB2312" w:eastAsia="仿宋_GB2312" w:cs="仿宋_GB2312"/>
          <w:i w:val="0"/>
          <w:strike w:val="0"/>
          <w:color w:val="000000"/>
          <w:sz w:val="32"/>
          <w:u w:val="none"/>
          <w:lang w:eastAsia="zh-CN"/>
        </w:rPr>
        <w:t>该</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2023年度</w:t>
      </w: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sz w:val="32"/>
          <w:szCs w:val="32"/>
        </w:rPr>
        <w:t>目标总体完成</w:t>
      </w:r>
      <w:r>
        <w:rPr>
          <w:rFonts w:hint="eastAsia" w:ascii="仿宋_GB2312" w:hAnsi="仿宋_GB2312" w:eastAsia="仿宋_GB2312" w:cs="仿宋_GB2312"/>
          <w:sz w:val="32"/>
          <w:szCs w:val="32"/>
          <w:lang w:eastAsia="zh-CN"/>
        </w:rPr>
        <w:t>。</w:t>
      </w:r>
    </w:p>
    <w:p w14:paraId="79C78ABD">
      <w:pPr>
        <w:keepNext w:val="0"/>
        <w:keepLines w:val="0"/>
        <w:pageBreakBefore w:val="0"/>
        <w:kinsoku/>
        <w:wordWrap/>
        <w:overflowPunct/>
        <w:topLinePunct w:val="0"/>
        <w:autoSpaceDE w:val="0"/>
        <w:autoSpaceDN/>
        <w:bidi w:val="0"/>
        <w:adjustRightInd/>
        <w:snapToGrid/>
        <w:spacing w:line="30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（四）评分结果</w:t>
      </w:r>
    </w:p>
    <w:p w14:paraId="134142B8">
      <w:pPr>
        <w:keepNext w:val="0"/>
        <w:keepLines w:val="0"/>
        <w:pageBreakBefore w:val="0"/>
        <w:numPr>
          <w:ilvl w:val="0"/>
          <w:numId w:val="0"/>
        </w:numPr>
        <w:kinsoku/>
        <w:wordWrap/>
        <w:topLinePunct w:val="0"/>
        <w:autoSpaceDN/>
        <w:bidi w:val="0"/>
        <w:adjustRightInd/>
        <w:snapToGrid/>
        <w:spacing w:line="300" w:lineRule="auto"/>
        <w:ind w:leftChars="20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自评得分96.65分，等级“优”（详情见附件）</w:t>
      </w:r>
    </w:p>
    <w:p w14:paraId="19E7DEEB">
      <w:pPr>
        <w:pageBreakBefore w:val="0"/>
        <w:widowControl/>
        <w:kinsoku/>
        <w:wordWrap/>
        <w:overflowPunct/>
        <w:topLinePunct w:val="0"/>
        <w:autoSpaceDE/>
        <w:autoSpaceDN/>
        <w:bidi w:val="0"/>
        <w:adjustRightInd/>
        <w:spacing w:line="540" w:lineRule="exact"/>
        <w:ind w:firstLine="640" w:firstLineChars="20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三、</w:t>
      </w:r>
      <w:r>
        <w:rPr>
          <w:rFonts w:hint="eastAsia" w:ascii="黑体" w:hAnsi="黑体" w:eastAsia="黑体" w:cs="黑体"/>
          <w:color w:val="000000"/>
          <w:kern w:val="0"/>
          <w:sz w:val="32"/>
          <w:szCs w:val="32"/>
        </w:rPr>
        <w:t>项目成效</w:t>
      </w:r>
    </w:p>
    <w:p w14:paraId="25798727">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strike w:val="0"/>
          <w:color w:val="000000"/>
          <w:sz w:val="32"/>
          <w:u w:val="none"/>
          <w:lang w:eastAsia="zh-CN"/>
        </w:rPr>
      </w:pPr>
      <w:r>
        <w:rPr>
          <w:rFonts w:hint="eastAsia" w:ascii="仿宋_GB2312" w:hAnsi="仿宋_GB2312" w:eastAsia="仿宋_GB2312" w:cs="仿宋_GB2312"/>
          <w:i w:val="0"/>
          <w:strike w:val="0"/>
          <w:color w:val="000000"/>
          <w:sz w:val="32"/>
          <w:u w:val="none"/>
          <w:lang w:eastAsia="zh-CN"/>
        </w:rPr>
        <w:t>（一）</w:t>
      </w:r>
      <w:r>
        <w:rPr>
          <w:rFonts w:hint="eastAsia" w:ascii="仿宋_GB2312" w:hAnsi="仿宋_GB2312" w:eastAsia="仿宋_GB2312" w:cs="仿宋_GB2312"/>
          <w:i w:val="0"/>
          <w:strike w:val="0"/>
          <w:color w:val="000000"/>
          <w:sz w:val="32"/>
          <w:u w:val="none"/>
        </w:rPr>
        <w:t>卫生科技工作</w:t>
      </w:r>
      <w:r>
        <w:rPr>
          <w:rFonts w:hint="eastAsia" w:ascii="仿宋_GB2312" w:hAnsi="仿宋_GB2312" w:eastAsia="仿宋_GB2312" w:cs="仿宋_GB2312"/>
          <w:i w:val="0"/>
          <w:strike w:val="0"/>
          <w:color w:val="000000"/>
          <w:sz w:val="32"/>
          <w:u w:val="none"/>
          <w:lang w:eastAsia="zh-CN"/>
        </w:rPr>
        <w:t>方面</w:t>
      </w:r>
    </w:p>
    <w:p w14:paraId="646407A7">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i w:val="0"/>
          <w:strike w:val="0"/>
          <w:color w:val="000000"/>
          <w:sz w:val="32"/>
          <w:u w:val="none"/>
        </w:rPr>
        <w:t>2018年4月，市卫健委、科技局、财政局、人社局四部门联合印发《进一步推进南京市卫生与健康科技创新的实施意见》，明确设立“南京市卫生科技发展专项资金”，市财政每年出资1亿元，并根据实际需求适时调整资金规模，用于支持卫生科教工作发展。我委以专项资金为主要依托，以项目化方式推进全系统科教工作持续提升。</w:t>
      </w:r>
    </w:p>
    <w:p w14:paraId="6F3EAE47">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i w:val="0"/>
          <w:strike w:val="0"/>
          <w:color w:val="000000"/>
          <w:sz w:val="32"/>
          <w:u w:val="none"/>
          <w:lang w:val="en-US" w:eastAsia="zh-CN"/>
        </w:rPr>
        <w:t>1.</w:t>
      </w:r>
      <w:r>
        <w:rPr>
          <w:rFonts w:hint="eastAsia" w:ascii="仿宋_GB2312" w:hAnsi="仿宋_GB2312" w:eastAsia="仿宋_GB2312" w:cs="仿宋_GB2312"/>
          <w:i w:val="0"/>
          <w:strike w:val="0"/>
          <w:color w:val="000000"/>
          <w:sz w:val="32"/>
          <w:u w:val="none"/>
        </w:rPr>
        <w:t>持续推进学科建设。以临床医学中心建设为抓手，聚力打造高峰学科。2020年4月，启动“第二轮南京临床医学中心”建设，遴选出鼓楼医院神经病学、内分泌学、生殖医学、心血管病学、临床药学，第一医院核医学，妇幼保健院遗传医学，第二医院感染病学，脑科医院康复医学及南京转化医学中心等10个中心，五年建设周期计划投入资金1亿元，支持各中心聚焦重点疾病，建立高技术合作协同研发平台，培育多专业跨行业专职研究团队，开展大规模临床队列、关键核心技术、规范化诊疗路径及成果转化研究。对接国家临床医学研究中心布局，2019年联合市科技局实施临床医学研究中心培育计划，打破行政隶属关系，在南京地区省部属、市属医院中高标准遴选4个国家级、6个部省共建临床医学研究中心培育项目，错位给予重点支持。在“十四五”省卫生健康科教能力提升工程项目评审中，市属医院8个学科入选省医学创新中心、11个学科入选省医学重点学科，均占全省的近四分之一。</w:t>
      </w:r>
    </w:p>
    <w:p w14:paraId="27C47801">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i w:val="0"/>
          <w:strike w:val="0"/>
          <w:color w:val="000000"/>
          <w:sz w:val="32"/>
          <w:u w:val="none"/>
          <w:lang w:val="en-US" w:eastAsia="zh-CN"/>
        </w:rPr>
        <w:t>2.</w:t>
      </w:r>
      <w:r>
        <w:rPr>
          <w:rFonts w:hint="eastAsia" w:ascii="仿宋_GB2312" w:hAnsi="仿宋_GB2312" w:eastAsia="仿宋_GB2312" w:cs="仿宋_GB2312"/>
          <w:i w:val="0"/>
          <w:strike w:val="0"/>
          <w:color w:val="000000"/>
          <w:sz w:val="32"/>
          <w:u w:val="none"/>
        </w:rPr>
        <w:t>着力夯实科研平台载体。</w:t>
      </w:r>
    </w:p>
    <w:p w14:paraId="38E440A7">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b w:val="0"/>
          <w:bCs/>
          <w:i w:val="0"/>
          <w:strike w:val="0"/>
          <w:color w:val="000000"/>
          <w:sz w:val="32"/>
          <w:u w:val="none"/>
        </w:rPr>
        <w:t>一是开</w:t>
      </w:r>
      <w:r>
        <w:rPr>
          <w:rFonts w:hint="eastAsia" w:ascii="仿宋_GB2312" w:hAnsi="仿宋_GB2312" w:eastAsia="仿宋_GB2312" w:cs="仿宋_GB2312"/>
          <w:i w:val="0"/>
          <w:strike w:val="0"/>
          <w:color w:val="000000"/>
          <w:sz w:val="32"/>
          <w:u w:val="none"/>
        </w:rPr>
        <w:t>展医学重点实验室遴选建设。出台《南京市医学重点实验室建设实施细则》，支持医疗卫生机构以科研基础条件、大型队列、科学数据平台、生物样本库、科技服务能力等建设为重点，加强条件保障类实验室（中心实验室）建设；同时</w:t>
      </w:r>
      <w:r>
        <w:rPr>
          <w:rFonts w:hint="eastAsia" w:ascii="仿宋_GB2312" w:hAnsi="仿宋_GB2312" w:eastAsia="仿宋_GB2312" w:cs="仿宋_GB2312"/>
          <w:i w:val="0"/>
          <w:strike w:val="0"/>
          <w:color w:val="000000"/>
          <w:sz w:val="32"/>
          <w:u w:val="none"/>
          <w:lang w:eastAsia="zh-CN"/>
        </w:rPr>
        <w:t>，托举</w:t>
      </w:r>
      <w:r>
        <w:rPr>
          <w:rFonts w:hint="eastAsia" w:ascii="仿宋_GB2312" w:hAnsi="仿宋_GB2312" w:eastAsia="仿宋_GB2312" w:cs="仿宋_GB2312"/>
          <w:i w:val="0"/>
          <w:strike w:val="0"/>
          <w:color w:val="000000"/>
          <w:sz w:val="32"/>
          <w:u w:val="none"/>
        </w:rPr>
        <w:t>优势特色学科，建设学科类重点实验室，针对学科发展的前沿和重大问题开展创新性研究，培养学科带头人和创新团队，促进学科持续提升。截至目前，共认定条件保障类重点实验室11个、学科类重点实验室13个（含建设单位4个），实验室总面积近3.9万平方米，科研仪器设备3000余台（套），总价值近6.4亿元。近3年系统内年获批国家自然科学基金项目均超过150项。印发《南京市卫生健康系统大型科研仪器开放共享管理办法（试行）》，引导医疗卫生单位大型科研仪器面向社会开放共享，充分释放服务潜能，提高仪器设备的使用效率和效益。</w:t>
      </w:r>
    </w:p>
    <w:p w14:paraId="510CB696">
      <w:pPr>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i w:val="0"/>
          <w:strike w:val="0"/>
          <w:color w:val="000000"/>
          <w:sz w:val="32"/>
          <w:u w:val="none"/>
        </w:rPr>
        <w:t>二是</w:t>
      </w:r>
      <w:r>
        <w:rPr>
          <w:rFonts w:hint="eastAsia" w:ascii="仿宋_GB2312" w:hAnsi="仿宋_GB2312" w:eastAsia="仿宋_GB2312" w:cs="仿宋_GB2312"/>
          <w:i w:val="0"/>
          <w:strike w:val="0"/>
          <w:color w:val="000000"/>
          <w:sz w:val="32"/>
          <w:u w:val="none"/>
        </w:rPr>
        <w:t>以委重大科技项目形式支持建设以鼓楼医院样本库为中心库、其他医疗机构样本库为分库的全市多中心临床生物样本库。建立多疾病精品样本队列，构建样本质量控制体系，目前已留存各类样本175.8万余份，同时建立了数十个病种的研究型数据库，为开展科技研发提供了丰富的研究资源。加大对外交流合作，先后与国家生物</w:t>
      </w:r>
      <w:r>
        <w:rPr>
          <w:rFonts w:hint="eastAsia" w:ascii="仿宋_GB2312" w:hAnsi="仿宋_GB2312" w:eastAsia="仿宋_GB2312" w:cs="仿宋_GB2312"/>
          <w:i w:val="0"/>
          <w:strike w:val="0"/>
          <w:color w:val="000000"/>
          <w:sz w:val="32"/>
          <w:u w:val="none"/>
          <w:lang w:eastAsia="zh-CN"/>
        </w:rPr>
        <w:t>医</w:t>
      </w:r>
      <w:r>
        <w:rPr>
          <w:rFonts w:hint="eastAsia" w:ascii="仿宋_GB2312" w:hAnsi="仿宋_GB2312" w:eastAsia="仿宋_GB2312" w:cs="仿宋_GB2312"/>
          <w:i w:val="0"/>
          <w:strike w:val="0"/>
          <w:color w:val="000000"/>
          <w:sz w:val="32"/>
          <w:u w:val="none"/>
        </w:rPr>
        <w:t>药技术创新中心共建临床研究与样本库服务平台，与泰州中国医药城、苏州工业园区等组织开展医疗创新资源对接会等，探索推动样本资源应用与转化。</w:t>
      </w:r>
    </w:p>
    <w:p w14:paraId="603F9E0F">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b w:val="0"/>
          <w:bCs/>
          <w:i w:val="0"/>
          <w:strike w:val="0"/>
          <w:color w:val="000000"/>
          <w:sz w:val="32"/>
          <w:u w:val="none"/>
        </w:rPr>
        <w:t>三是深</w:t>
      </w:r>
      <w:r>
        <w:rPr>
          <w:rFonts w:hint="eastAsia" w:ascii="仿宋_GB2312" w:hAnsi="仿宋_GB2312" w:eastAsia="仿宋_GB2312" w:cs="仿宋_GB2312"/>
          <w:i w:val="0"/>
          <w:strike w:val="0"/>
          <w:color w:val="000000"/>
          <w:sz w:val="32"/>
          <w:u w:val="none"/>
        </w:rPr>
        <w:t>化研究型医院建设。鼓楼医院、市儿童医院入选省研究型医院、市第一医院入选省研究型医院建设单位，市财政对入选单位给予了配套资助。联合市科技、财政、人社、发改、医保、市场监管等部门出台《关于加强我市研究型医院建设的若干意见（试行）》，强化政策引导、完善激励机制，支持有条件的医院向研究型、创新型方向发展。支持市中医院示范建设市级研究型中医院。利用信息化手段加大临床研究资源整合、开放，推动医研企各类创新资源、要素、服务向平台集聚，为提高我市临床研究水平、助力生物医药研发提供支撑。</w:t>
      </w:r>
    </w:p>
    <w:p w14:paraId="6322ECA2">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i w:val="0"/>
          <w:strike w:val="0"/>
          <w:color w:val="000000"/>
          <w:sz w:val="32"/>
          <w:u w:val="none"/>
          <w:lang w:val="en-US" w:eastAsia="zh-CN"/>
        </w:rPr>
        <w:t>3.</w:t>
      </w:r>
      <w:r>
        <w:rPr>
          <w:rFonts w:hint="eastAsia" w:ascii="仿宋_GB2312" w:hAnsi="仿宋_GB2312" w:eastAsia="仿宋_GB2312" w:cs="仿宋_GB2312"/>
          <w:i w:val="0"/>
          <w:strike w:val="0"/>
          <w:color w:val="000000"/>
          <w:sz w:val="32"/>
          <w:u w:val="none"/>
        </w:rPr>
        <w:t>加快推进医学科技创新和成果转化。</w:t>
      </w:r>
    </w:p>
    <w:p w14:paraId="4E0A64B8">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b w:val="0"/>
          <w:bCs/>
          <w:i w:val="0"/>
          <w:strike w:val="0"/>
          <w:color w:val="000000"/>
          <w:sz w:val="32"/>
          <w:u w:val="none"/>
        </w:rPr>
        <w:t>一是组织</w:t>
      </w:r>
      <w:r>
        <w:rPr>
          <w:rFonts w:hint="eastAsia" w:ascii="仿宋_GB2312" w:hAnsi="仿宋_GB2312" w:eastAsia="仿宋_GB2312" w:cs="仿宋_GB2312"/>
          <w:i w:val="0"/>
          <w:strike w:val="0"/>
          <w:color w:val="000000"/>
          <w:sz w:val="32"/>
          <w:u w:val="none"/>
        </w:rPr>
        <w:t>实施市卫生科技发展专项。按照杰出青年人才项目、重点项目和一般性课题三个类别，支持医务人员聚焦卫生领域科技前沿和临床需求开展基础研究、临床研究及转化应用，鼓励新技术研发及引进，每年立项科研项目不低于300项、奖励医学新技术50项。</w:t>
      </w:r>
    </w:p>
    <w:p w14:paraId="230936B6">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b w:val="0"/>
          <w:bCs/>
          <w:i w:val="0"/>
          <w:strike w:val="0"/>
          <w:color w:val="000000"/>
          <w:sz w:val="32"/>
          <w:u w:val="none"/>
        </w:rPr>
        <w:t>二是体</w:t>
      </w:r>
      <w:r>
        <w:rPr>
          <w:rFonts w:hint="eastAsia" w:ascii="仿宋_GB2312" w:hAnsi="仿宋_GB2312" w:eastAsia="仿宋_GB2312" w:cs="仿宋_GB2312"/>
          <w:i w:val="0"/>
          <w:strike w:val="0"/>
          <w:color w:val="000000"/>
          <w:sz w:val="32"/>
          <w:u w:val="none"/>
        </w:rPr>
        <w:t>系化推进科技成果转化。设立专门机构，挂牌成立南京市转化医学研究院，支持转化院积极探索医学成果转化的路径模式、知识产权共享及利益分配机制，组织开展了一系列成果推介和医研企金对接活动，推动了一批成果转化落地。培养专业人才，联合省技术产权交易市场每年举办医疗卫生领域技术经理人培训班，已培养初、中级技术经理人才300余人次。优化政策环境，围绕医疗卫生机构成果转化过程中存在的堵点、难点问题，联合市科技、财政、人社、税务等相关部门制定了《关于促进南京市医疗卫生机构科技成果转化的实施意见》，疏通政策堵点，加大激励力度。</w:t>
      </w:r>
    </w:p>
    <w:p w14:paraId="67ACCEA4">
      <w:pPr>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i w:val="0"/>
          <w:strike w:val="0"/>
          <w:color w:val="000000"/>
          <w:sz w:val="32"/>
          <w:u w:val="none"/>
          <w:lang w:val="en-US" w:eastAsia="zh-CN"/>
        </w:rPr>
        <w:t>4.</w:t>
      </w:r>
      <w:r>
        <w:rPr>
          <w:rFonts w:hint="eastAsia" w:ascii="仿宋_GB2312" w:hAnsi="仿宋_GB2312" w:eastAsia="仿宋_GB2312" w:cs="仿宋_GB2312"/>
          <w:i w:val="0"/>
          <w:strike w:val="0"/>
          <w:color w:val="000000"/>
          <w:sz w:val="32"/>
          <w:u w:val="none"/>
        </w:rPr>
        <w:t>不断强化科教管理。</w:t>
      </w:r>
    </w:p>
    <w:p w14:paraId="0CA2B694">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rPr>
      </w:pPr>
      <w:r>
        <w:rPr>
          <w:rFonts w:hint="eastAsia" w:ascii="仿宋_GB2312" w:hAnsi="仿宋_GB2312" w:eastAsia="仿宋_GB2312" w:cs="仿宋_GB2312"/>
          <w:b w:val="0"/>
          <w:bCs/>
          <w:i w:val="0"/>
          <w:strike w:val="0"/>
          <w:color w:val="000000"/>
          <w:sz w:val="32"/>
          <w:u w:val="none"/>
        </w:rPr>
        <w:t>一是完善制度体系。先后出台了《南京市卫生科技发展经费管理实施细则（试行）》《南京市卫生科技发展项目管理暂行办法》《南京市卫生健康系统大型科研仪器开放共享管理办法》《南京市科教管理质量控制中心管理办法》，对《南京市医学科学技术成果奖励暂行办法》《南京市医学重点实验室建设和运行管理办法》等文件进行了修订。</w:t>
      </w:r>
    </w:p>
    <w:p w14:paraId="75ED1966">
      <w:pPr>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strike w:val="0"/>
          <w:color w:val="000000"/>
          <w:sz w:val="32"/>
          <w:u w:val="none"/>
        </w:rPr>
      </w:pPr>
      <w:r>
        <w:rPr>
          <w:rFonts w:hint="eastAsia" w:ascii="仿宋_GB2312" w:hAnsi="仿宋_GB2312" w:eastAsia="仿宋_GB2312" w:cs="仿宋_GB2312"/>
          <w:b w:val="0"/>
          <w:bCs/>
          <w:i w:val="0"/>
          <w:strike w:val="0"/>
          <w:color w:val="000000"/>
          <w:sz w:val="32"/>
          <w:u w:val="none"/>
        </w:rPr>
        <w:t>二是创新</w:t>
      </w:r>
      <w:r>
        <w:rPr>
          <w:rFonts w:hint="eastAsia" w:ascii="仿宋_GB2312" w:hAnsi="仿宋_GB2312" w:eastAsia="仿宋_GB2312" w:cs="仿宋_GB2312"/>
          <w:i w:val="0"/>
          <w:strike w:val="0"/>
          <w:color w:val="000000"/>
          <w:sz w:val="32"/>
          <w:u w:val="none"/>
        </w:rPr>
        <w:t>性开展科教管理质量控制。首批设立了临床研究、伦理审查、样本库建设三个质控中心，发挥专业力量的作用，探索建立相关领域质控标准，通过培训、指导、学术交流、质控检查等方式，推动医疗卫生机构科教工作质量持续改进。</w:t>
      </w:r>
    </w:p>
    <w:p w14:paraId="6CCD4D74">
      <w:pPr>
        <w:pageBreakBefore w:val="0"/>
        <w:kinsoku/>
        <w:wordWrap/>
        <w:overflowPunct/>
        <w:topLinePunct w:val="0"/>
        <w:autoSpaceDE/>
        <w:autoSpaceDN/>
        <w:bidi w:val="0"/>
        <w:adjustRightInd/>
        <w:spacing w:line="540" w:lineRule="exact"/>
        <w:textAlignment w:val="auto"/>
        <w:rPr>
          <w:rFonts w:hint="eastAsia" w:ascii="仿宋_GB2312" w:hAnsi="仿宋_GB2312" w:eastAsia="仿宋_GB2312" w:cs="仿宋_GB2312"/>
          <w:sz w:val="32"/>
        </w:rPr>
      </w:pPr>
      <w:r>
        <w:rPr>
          <w:rFonts w:hint="eastAsia" w:ascii="仿宋_GB2312" w:hAnsi="仿宋_GB2312" w:eastAsia="仿宋_GB2312" w:cs="仿宋_GB2312"/>
          <w:i w:val="0"/>
          <w:strike w:val="0"/>
          <w:color w:val="000000"/>
          <w:sz w:val="32"/>
          <w:u w:val="none"/>
        </w:rPr>
        <w:t xml:space="preserve">    </w:t>
      </w:r>
      <w:r>
        <w:rPr>
          <w:rFonts w:hint="eastAsia" w:ascii="仿宋_GB2312" w:hAnsi="仿宋_GB2312" w:eastAsia="仿宋_GB2312" w:cs="仿宋_GB2312"/>
          <w:sz w:val="32"/>
        </w:rPr>
        <w:t>2023年，我委共立项市卫生科技发展资金课题项目323项；授予新技术奖50项，其中一等奖13项，二等奖37项。全年共发表学术论文3930篇，其中SCI收录论文1735篇，影响因子10分以上的248篇。出版专著232部，其中主编、主译69部。获专利成果近566项，其中发明专利124项、实用新型专利388项、软件著作权35项、外观专利19项；本年度内转化科技成果28项，实现直接经济效益4124万元，其他以收益分成等方式实现了转化。获得省科学技术奖9项，其中一等奖2项、二等奖1项、三等奖6项。</w:t>
      </w:r>
    </w:p>
    <w:p w14:paraId="13D887C7">
      <w:pPr>
        <w:pageBreakBefore w:val="0"/>
        <w:kinsoku/>
        <w:wordWrap/>
        <w:overflowPunct/>
        <w:topLinePunct w:val="0"/>
        <w:autoSpaceDE/>
        <w:autoSpaceDN/>
        <w:bidi w:val="0"/>
        <w:adjustRightInd/>
        <w:snapToGrid/>
        <w:spacing w:before="0" w:after="0" w:line="540" w:lineRule="exact"/>
        <w:ind w:right="0" w:rightChars="0" w:firstLine="640" w:firstLineChars="200"/>
        <w:textAlignment w:val="auto"/>
        <w:rPr>
          <w:rFonts w:hint="eastAsia" w:ascii="仿宋_GB2312" w:hAnsi="仿宋_GB2312" w:eastAsia="仿宋_GB2312" w:cs="仿宋_GB2312"/>
          <w:i w:val="0"/>
          <w:strike w:val="0"/>
          <w:color w:val="000000"/>
          <w:sz w:val="32"/>
          <w:u w:val="none"/>
          <w:lang w:eastAsia="zh-CN"/>
        </w:rPr>
      </w:pPr>
      <w:r>
        <w:rPr>
          <w:rFonts w:hint="eastAsia" w:ascii="仿宋_GB2312" w:hAnsi="仿宋_GB2312" w:eastAsia="仿宋_GB2312" w:cs="仿宋_GB2312"/>
          <w:i w:val="0"/>
          <w:strike w:val="0"/>
          <w:color w:val="000000"/>
          <w:sz w:val="32"/>
          <w:u w:val="none"/>
          <w:lang w:eastAsia="zh-CN"/>
        </w:rPr>
        <w:t>（二）</w:t>
      </w:r>
      <w:r>
        <w:rPr>
          <w:rFonts w:hint="eastAsia" w:ascii="仿宋_GB2312" w:hAnsi="仿宋_GB2312" w:eastAsia="仿宋_GB2312" w:cs="仿宋_GB2312"/>
          <w:i w:val="0"/>
          <w:strike w:val="0"/>
          <w:color w:val="000000"/>
          <w:sz w:val="32"/>
          <w:u w:val="none"/>
        </w:rPr>
        <w:t>教育培训工作</w:t>
      </w:r>
      <w:r>
        <w:rPr>
          <w:rFonts w:hint="eastAsia" w:ascii="仿宋_GB2312" w:hAnsi="仿宋_GB2312" w:eastAsia="仿宋_GB2312" w:cs="仿宋_GB2312"/>
          <w:i w:val="0"/>
          <w:strike w:val="0"/>
          <w:color w:val="000000"/>
          <w:sz w:val="32"/>
          <w:u w:val="none"/>
          <w:lang w:eastAsia="zh-CN"/>
        </w:rPr>
        <w:t>方面</w:t>
      </w:r>
    </w:p>
    <w:p w14:paraId="503D787E">
      <w:pPr>
        <w:pStyle w:val="2"/>
        <w:keepNext/>
        <w:keepLines/>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rPr>
          <w:rFonts w:hint="eastAsia" w:ascii="仿宋_GB2312" w:hAnsi="仿宋_GB2312" w:eastAsia="仿宋_GB2312" w:cs="仿宋_GB2312"/>
          <w:b w:val="0"/>
        </w:rPr>
      </w:pPr>
      <w:r>
        <w:rPr>
          <w:rFonts w:hint="eastAsia" w:ascii="仿宋_GB2312" w:hAnsi="仿宋_GB2312" w:eastAsia="仿宋_GB2312" w:cs="仿宋_GB2312"/>
          <w:b w:val="0"/>
          <w:i w:val="0"/>
          <w:strike w:val="0"/>
          <w:color w:val="000000"/>
          <w:sz w:val="32"/>
          <w:u w:val="none"/>
          <w:lang w:val="en-US" w:eastAsia="zh-CN"/>
        </w:rPr>
        <w:t>1.</w:t>
      </w:r>
      <w:r>
        <w:rPr>
          <w:rFonts w:hint="eastAsia" w:ascii="仿宋_GB2312" w:hAnsi="仿宋_GB2312" w:eastAsia="仿宋_GB2312" w:cs="仿宋_GB2312"/>
          <w:b w:val="0"/>
          <w:i w:val="0"/>
          <w:strike w:val="0"/>
          <w:color w:val="000000"/>
          <w:sz w:val="32"/>
          <w:u w:val="none"/>
        </w:rPr>
        <w:t>全力推进，高标准完善5+3住培工作模式</w:t>
      </w:r>
    </w:p>
    <w:p w14:paraId="3D20C504">
      <w:pPr>
        <w:pageBreakBefore w:val="0"/>
        <w:kinsoku/>
        <w:wordWrap/>
        <w:overflowPunct/>
        <w:topLinePunct w:val="0"/>
        <w:autoSpaceDE/>
        <w:autoSpaceDN/>
        <w:bidi w:val="0"/>
        <w:adjustRightInd/>
        <w:snapToGrid/>
        <w:spacing w:before="0" w:after="0" w:line="540" w:lineRule="exact"/>
        <w:ind w:right="0" w:rightChars="0" w:firstLine="640" w:firstLineChars="200"/>
        <w:textAlignment w:val="auto"/>
        <w:rPr>
          <w:rFonts w:hint="eastAsia" w:ascii="仿宋_GB2312" w:hAnsi="仿宋_GB2312" w:eastAsia="仿宋_GB2312" w:cs="仿宋_GB2312"/>
          <w:i w:val="0"/>
          <w:strike w:val="0"/>
          <w:color w:val="000000"/>
          <w:sz w:val="32"/>
          <w:u w:val="none"/>
        </w:rPr>
      </w:pPr>
      <w:r>
        <w:rPr>
          <w:rFonts w:hint="eastAsia" w:ascii="仿宋_GB2312" w:hAnsi="仿宋_GB2312" w:eastAsia="仿宋_GB2312" w:cs="仿宋_GB2312"/>
          <w:i w:val="0"/>
          <w:strike w:val="0"/>
          <w:color w:val="000000"/>
          <w:sz w:val="32"/>
          <w:u w:val="none"/>
        </w:rPr>
        <w:t>2014年起，国家卫健委在全国范围内启动住院医师规范化培训工作，我市首批入选基地9家。“十三五”期间，各直属单位按照国家级基地评估指标积极开展平台建设，经第二批、第三批国家级基地申报遴选，经多轮遴选及动态调整，截至2023年底，我市共有14个国家级住院医师规范化培训基地（其中市属基地8个，属地化管理省属基地6个），区级医院及民营医院等协同基地13个，覆盖规培细则涉及的全部35个专业基地。</w:t>
      </w:r>
    </w:p>
    <w:p w14:paraId="2E74A999">
      <w:pPr>
        <w:pageBreakBefore w:val="0"/>
        <w:kinsoku/>
        <w:wordWrap/>
        <w:overflowPunct/>
        <w:topLinePunct w:val="0"/>
        <w:autoSpaceDE/>
        <w:autoSpaceDN/>
        <w:bidi w:val="0"/>
        <w:adjustRightInd/>
        <w:snapToGrid/>
        <w:spacing w:before="0" w:after="0" w:line="540" w:lineRule="exact"/>
        <w:ind w:right="0" w:rightChars="0" w:firstLine="640" w:firstLineChars="200"/>
        <w:textAlignment w:val="auto"/>
        <w:rPr>
          <w:rFonts w:hint="eastAsia" w:ascii="仿宋_GB2312" w:hAnsi="仿宋_GB2312" w:eastAsia="仿宋_GB2312" w:cs="仿宋_GB2312"/>
          <w:i w:val="0"/>
          <w:strike w:val="0"/>
          <w:color w:val="000000"/>
          <w:sz w:val="32"/>
          <w:u w:val="none"/>
        </w:rPr>
      </w:pPr>
      <w:r>
        <w:rPr>
          <w:rFonts w:hint="eastAsia" w:ascii="仿宋_GB2312" w:hAnsi="仿宋_GB2312" w:eastAsia="仿宋_GB2312" w:cs="仿宋_GB2312"/>
          <w:i w:val="0"/>
          <w:strike w:val="0"/>
          <w:color w:val="000000"/>
          <w:sz w:val="32"/>
          <w:u w:val="none"/>
        </w:rPr>
        <w:t>2015年，卫生、人社、财政等三部门联合下发《关于进一步加强南京地区住院医师规范化培训工作的实施意见》（宁卫科〔2015〕11号），从平台建设、制度建设、师资队伍建设及经费保障等多方面全力推进住院医师规范化培训工作，市财政给予南京地区住院医师规范化培训基地每位住院医师每人每年1万元经费补贴（全科医师2万元），到2023年底，共补贴6899万元。</w:t>
      </w:r>
    </w:p>
    <w:p w14:paraId="380E7387">
      <w:pPr>
        <w:pageBreakBefore w:val="0"/>
        <w:kinsoku/>
        <w:wordWrap/>
        <w:overflowPunct/>
        <w:topLinePunct w:val="0"/>
        <w:autoSpaceDE/>
        <w:autoSpaceDN/>
        <w:bidi w:val="0"/>
        <w:adjustRightInd/>
        <w:snapToGrid/>
        <w:spacing w:before="0" w:after="0" w:line="540" w:lineRule="exact"/>
        <w:ind w:right="0" w:rightChars="0" w:firstLine="640" w:firstLineChars="200"/>
        <w:textAlignment w:val="auto"/>
        <w:rPr>
          <w:rFonts w:hint="eastAsia" w:ascii="仿宋_GB2312" w:hAnsi="仿宋_GB2312" w:eastAsia="仿宋_GB2312" w:cs="仿宋_GB2312"/>
          <w:i w:val="0"/>
          <w:strike w:val="0"/>
          <w:color w:val="000000"/>
          <w:sz w:val="32"/>
          <w:u w:val="none"/>
        </w:rPr>
      </w:pPr>
      <w:r>
        <w:rPr>
          <w:rFonts w:hint="eastAsia" w:ascii="仿宋_GB2312" w:hAnsi="仿宋_GB2312" w:eastAsia="仿宋_GB2312" w:cs="仿宋_GB2312"/>
          <w:i w:val="0"/>
          <w:strike w:val="0"/>
          <w:color w:val="000000"/>
          <w:sz w:val="32"/>
          <w:u w:val="none"/>
        </w:rPr>
        <w:t>2015年起，经专家论证通过，我委委托南京医科大学组织开展住院医师公共课培训班，为住院医师提供临床思维训练、卫生法律法规、医患沟通、循证医学及传染病防治等课程的学习，全面促进住院医师的综合性能力提升，2023年共培训350人。</w:t>
      </w:r>
    </w:p>
    <w:p w14:paraId="4CC9632F">
      <w:pPr>
        <w:pageBreakBefore w:val="0"/>
        <w:kinsoku/>
        <w:wordWrap/>
        <w:overflowPunct/>
        <w:topLinePunct w:val="0"/>
        <w:autoSpaceDE/>
        <w:autoSpaceDN/>
        <w:bidi w:val="0"/>
        <w:adjustRightInd/>
        <w:snapToGrid/>
        <w:spacing w:before="0" w:after="0" w:line="540" w:lineRule="exact"/>
        <w:ind w:right="0" w:righ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i w:val="0"/>
          <w:strike w:val="0"/>
          <w:color w:val="000000"/>
          <w:sz w:val="32"/>
          <w:u w:val="none"/>
        </w:rPr>
        <w:t>2019年，我委组织开展首届住院医师技能大赛，鼓励全市范围内的在培住院医师参加，对名列前三的参赛队伍授予荣誉称号，发放奖金，给予优秀学员结业免试（限技能考核）机会，大大促进住院医师学习的主动性积极性。2020年，技能大赛升格为市总工会管理下的二级竞赛，前三名选手分别获得“南京市技术能手”“南京市五一创新能手”称号，激发了学员的学习热情和职业成就感、荣誉感，住院医师的参与积极性进一步高涨，2022年，住院医师技能大赛进一步升格为总工会一级大赛，个人赛第一名选手获得“南京市五一劳动奖章”，其余选手获得“</w:t>
      </w:r>
      <w:r>
        <w:rPr>
          <w:rFonts w:hint="eastAsia" w:ascii="仿宋_GB2312" w:hAnsi="仿宋_GB2312" w:eastAsia="仿宋_GB2312" w:cs="仿宋_GB2312"/>
          <w:i w:val="0"/>
          <w:strike w:val="0"/>
          <w:color w:val="000000"/>
          <w:spacing w:val="0"/>
          <w:sz w:val="32"/>
          <w:u w:val="none"/>
        </w:rPr>
        <w:t>南京市技术能手”</w:t>
      </w:r>
      <w:r>
        <w:rPr>
          <w:rFonts w:hint="eastAsia" w:ascii="仿宋_GB2312" w:hAnsi="仿宋_GB2312" w:eastAsia="仿宋_GB2312" w:cs="仿宋_GB2312"/>
          <w:i w:val="0"/>
          <w:strike w:val="0"/>
          <w:color w:val="000000"/>
          <w:sz w:val="32"/>
          <w:u w:val="none"/>
        </w:rPr>
        <w:t>。</w:t>
      </w:r>
    </w:p>
    <w:p w14:paraId="40316CC6">
      <w:pPr>
        <w:pageBreakBefore w:val="0"/>
        <w:kinsoku/>
        <w:wordWrap/>
        <w:overflowPunct/>
        <w:topLinePunct w:val="0"/>
        <w:autoSpaceDE/>
        <w:autoSpaceDN/>
        <w:bidi w:val="0"/>
        <w:adjustRightInd/>
        <w:snapToGrid/>
        <w:spacing w:before="0" w:after="0" w:line="540" w:lineRule="exact"/>
        <w:ind w:right="0" w:righ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i w:val="0"/>
          <w:strike w:val="0"/>
          <w:color w:val="000000"/>
          <w:sz w:val="32"/>
          <w:u w:val="none"/>
        </w:rPr>
        <w:t>“十三五”期间，鼓楼医院获评住院医师规范化培训国家级示范基地；脑科医院精神科专业基地、儿童医院儿内科专业基地、鼓楼医院麻醉科专业基地、中大医院全科专业基地获评国家级规培重点专业基地，全市国家级规培基地共结业学员14358人，当前全市在培住院医师6377人（不含助理全科）。2016－2023年期间，市级财政共下达住院医师规范化培训经费6899万元。全市拥有的国家级规培基地数量、十三五周期内完成培训和达标人数、市级财政下达经费补助数均位居全省第一，全国前列。</w:t>
      </w:r>
    </w:p>
    <w:p w14:paraId="04B6852C">
      <w:pPr>
        <w:pStyle w:val="2"/>
        <w:keepNext/>
        <w:keepLines/>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rPr>
          <w:rFonts w:hint="eastAsia" w:ascii="仿宋_GB2312" w:hAnsi="仿宋_GB2312" w:eastAsia="仿宋_GB2312" w:cs="仿宋_GB2312"/>
          <w:b w:val="0"/>
        </w:rPr>
      </w:pPr>
      <w:r>
        <w:rPr>
          <w:rFonts w:hint="eastAsia" w:ascii="仿宋_GB2312" w:hAnsi="仿宋_GB2312" w:eastAsia="仿宋_GB2312" w:cs="仿宋_GB2312"/>
          <w:b w:val="0"/>
          <w:i w:val="0"/>
          <w:strike w:val="0"/>
          <w:color w:val="000000"/>
          <w:sz w:val="32"/>
          <w:u w:val="none"/>
          <w:lang w:val="en-US" w:eastAsia="zh-CN"/>
        </w:rPr>
        <w:t>2.</w:t>
      </w:r>
      <w:r>
        <w:rPr>
          <w:rFonts w:hint="eastAsia" w:ascii="仿宋_GB2312" w:hAnsi="仿宋_GB2312" w:eastAsia="仿宋_GB2312" w:cs="仿宋_GB2312"/>
          <w:b w:val="0"/>
          <w:i w:val="0"/>
          <w:strike w:val="0"/>
          <w:color w:val="000000"/>
          <w:sz w:val="32"/>
          <w:u w:val="none"/>
        </w:rPr>
        <w:t>勠力同心，政策保障基层卫生人才定向培养力度</w:t>
      </w:r>
    </w:p>
    <w:p w14:paraId="7899C0D2">
      <w:pPr>
        <w:pageBreakBefore w:val="0"/>
        <w:kinsoku/>
        <w:wordWrap/>
        <w:overflowPunct/>
        <w:topLinePunct w:val="0"/>
        <w:autoSpaceDE/>
        <w:autoSpaceDN/>
        <w:bidi w:val="0"/>
        <w:adjustRightInd/>
        <w:snapToGrid/>
        <w:spacing w:before="0" w:after="0" w:line="540" w:lineRule="exact"/>
        <w:ind w:right="0" w:rightChars="0" w:firstLine="640" w:firstLineChars="200"/>
        <w:textAlignment w:val="auto"/>
        <w:rPr>
          <w:rFonts w:hint="eastAsia" w:ascii="仿宋_GB2312" w:hAnsi="仿宋_GB2312" w:eastAsia="仿宋_GB2312" w:cs="仿宋_GB2312"/>
          <w:b w:val="0"/>
          <w:bCs w:val="0"/>
        </w:rPr>
      </w:pPr>
      <w:r>
        <w:rPr>
          <w:rFonts w:hint="eastAsia" w:ascii="仿宋_GB2312" w:hAnsi="仿宋_GB2312" w:eastAsia="仿宋_GB2312" w:cs="仿宋_GB2312"/>
          <w:i w:val="0"/>
          <w:strike w:val="0"/>
          <w:color w:val="000000"/>
          <w:sz w:val="32"/>
          <w:u w:val="none"/>
        </w:rPr>
        <w:t>实施农村订单定向医学生免费培养是深化医改、加强全科医生队伍建设的重大举措，是现阶段提升农村基层医疗卫生队伍整体素质和水平、推动建立分级诊疗制度的治本之策，是推动城乡区域协调发展、保障和改善民生的重要内容。2015年，原省卫生计生委、省教育厅、省发展改革委、省财政厅、省人社厅、省编办等6部门联合下发《关于开展农村订单定向医学生免费培养工作的通知》（苏卫科教﹝2015﹞21号），以提前确定编制和保留岗位为政策吸引，以全额报销学费和补贴生活费为制度保障，在全省范围内各涉农区（县）开展农村订单定向医学生免费培养工作。我市积极组织高淳、溧水、江宁、浦口、六合及栖霞等涉农地区申报招录计划，设立优惠政策，吸引人才。“十三五”期间，我市获得农村订单定向医学生免费培养招录计划605人，招录学员569人，其中本科学历216人，大专学历353人；至今共获得招录计划953人，招录学员910人，其中本科学历357人，大专学历553人，目前已完成学历教育返乡就业385人，在</w:t>
      </w:r>
      <w:r>
        <w:rPr>
          <w:rFonts w:hint="eastAsia" w:ascii="仿宋_GB2312" w:hAnsi="仿宋_GB2312" w:eastAsia="仿宋_GB2312" w:cs="仿宋_GB2312"/>
          <w:b w:val="0"/>
          <w:bCs w:val="0"/>
          <w:i w:val="0"/>
          <w:strike w:val="0"/>
          <w:color w:val="000000"/>
          <w:sz w:val="32"/>
          <w:u w:val="none"/>
        </w:rPr>
        <w:t>二、三级医院进行全科规培（全科助理培训）343人。</w:t>
      </w:r>
    </w:p>
    <w:p w14:paraId="4BEDBB84">
      <w:pPr>
        <w:pageBreakBefore w:val="0"/>
        <w:kinsoku/>
        <w:wordWrap/>
        <w:overflowPunct/>
        <w:topLinePunct w:val="0"/>
        <w:autoSpaceDE/>
        <w:autoSpaceDN/>
        <w:bidi w:val="0"/>
        <w:adjustRightInd/>
        <w:snapToGrid/>
        <w:spacing w:before="0" w:after="0" w:line="540" w:lineRule="exact"/>
        <w:ind w:right="0" w:rightChars="0" w:firstLine="640" w:firstLineChars="20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i w:val="0"/>
          <w:strike w:val="0"/>
          <w:color w:val="000000"/>
          <w:sz w:val="32"/>
          <w:u w:val="none"/>
        </w:rPr>
        <w:t>为保证基层卫生人才队伍稳定性，《市政府办公厅关于改革完善全科医生培养与使用激励机制的通知》（宁政办发〔2019〕36 号）“允许医疗卫生机构突破现行事业单位工资调控水平，允许医疗服务收入扣除成本并按规定提取各项基金后主要用于人员奖励”的政策，让所有定向培养履约学员除充分享有岗位、编制、工资绩效待遇等既有政策之外，提高了全科医生按事业单位绩效工资基准线水平的10%左右核增的绩效工资总量，还可结合考评结果次年再调增6%-10%绩效工资总量。区财政鼓励非定向培养学员自愿到基层工作，按照本科五年、专科三年，每年6000元的标准予以一次性奖励。2019－2020年，市辖各区相继出台了吸引稳定人才的激励政策，如溧水、浦口等区允许区域内优秀全科医师向上流动至区管二、三级医院，基层工作的持证全科医生每人每年可获得2－3万元、持续五年的津贴；工龄7－10年、10－19年、20年及以上的全科医师每年还将额外获得3000、5000、10000元奖励。</w:t>
      </w:r>
    </w:p>
    <w:p w14:paraId="268369CC">
      <w:pPr>
        <w:pStyle w:val="2"/>
        <w:keepNext/>
        <w:keepLines/>
        <w:pageBreakBefore w:val="0"/>
        <w:widowControl w:val="0"/>
        <w:kinsoku/>
        <w:wordWrap/>
        <w:overflowPunct/>
        <w:topLinePunct w:val="0"/>
        <w:autoSpaceDE/>
        <w:autoSpaceDN/>
        <w:bidi w:val="0"/>
        <w:adjustRightInd/>
        <w:snapToGrid/>
        <w:spacing w:before="0" w:after="0" w:line="540" w:lineRule="exact"/>
        <w:ind w:right="0" w:rightChars="0" w:firstLine="640" w:firstLineChars="200"/>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i w:val="0"/>
          <w:strike w:val="0"/>
          <w:color w:val="000000"/>
          <w:sz w:val="32"/>
          <w:u w:val="none"/>
          <w:lang w:val="en-US" w:eastAsia="zh-CN"/>
        </w:rPr>
        <w:t>3.</w:t>
      </w:r>
      <w:r>
        <w:rPr>
          <w:rFonts w:hint="eastAsia" w:ascii="仿宋_GB2312" w:hAnsi="仿宋_GB2312" w:eastAsia="仿宋_GB2312" w:cs="仿宋_GB2312"/>
          <w:b w:val="0"/>
          <w:bCs w:val="0"/>
          <w:i w:val="0"/>
          <w:strike w:val="0"/>
          <w:color w:val="000000"/>
          <w:sz w:val="32"/>
          <w:u w:val="none"/>
        </w:rPr>
        <w:t>着力深耕，医教协同提升培训工作内涵</w:t>
      </w:r>
    </w:p>
    <w:p w14:paraId="3D54BC99">
      <w:pPr>
        <w:pageBreakBefore w:val="0"/>
        <w:kinsoku/>
        <w:wordWrap/>
        <w:overflowPunct/>
        <w:topLinePunct w:val="0"/>
        <w:autoSpaceDE/>
        <w:autoSpaceDN/>
        <w:bidi w:val="0"/>
        <w:adjustRightInd/>
        <w:snapToGrid/>
        <w:spacing w:before="0" w:after="0" w:line="540" w:lineRule="exact"/>
        <w:ind w:right="0" w:rightChars="0" w:firstLine="640"/>
        <w:textAlignment w:val="auto"/>
        <w:rPr>
          <w:rFonts w:hint="eastAsia" w:ascii="仿宋_GB2312" w:hAnsi="仿宋_GB2312" w:eastAsia="仿宋_GB2312" w:cs="仿宋_GB2312"/>
          <w:b w:val="0"/>
          <w:bCs w:val="0"/>
          <w:i w:val="0"/>
          <w:strike w:val="0"/>
          <w:color w:val="000000"/>
          <w:sz w:val="32"/>
          <w:u w:val="none"/>
        </w:rPr>
      </w:pPr>
      <w:r>
        <w:rPr>
          <w:rFonts w:hint="eastAsia" w:ascii="仿宋_GB2312" w:hAnsi="仿宋_GB2312" w:eastAsia="仿宋_GB2312" w:cs="仿宋_GB2312"/>
          <w:b w:val="0"/>
          <w:bCs w:val="0"/>
          <w:i w:val="0"/>
          <w:strike w:val="0"/>
          <w:color w:val="000000"/>
          <w:sz w:val="32"/>
          <w:u w:val="none"/>
        </w:rPr>
        <w:t>医教协同推进医学教育改革发展，是深化医药卫生体制改革和教育体制机制改革的重要内容，是提升医疗卫生服务水平、推进健康南京建设的基础工程。截至2023年底，我市直属医院中，共有各大医学院校附属医院9家、教学医院13家，硕导856人、博导158人，副教授450人，教授192人、博士后工作站7个，在站博士后123人。面向省内七所医（药）学类高等院校开展各类临床理论教学课程50余门。2017年，省政府办公厅出台了《关于深化医教协同推进医学教育改革发展的实施意见》（苏政办发〔2017〕134号），临床医学和口腔医学专业学位研究生教育与江苏省住院医师规范化培训双向接轨工作全面开展，南京大学、东南大学、南京医科大学、南京中医药大学专业硕士陆续进入住院医师规范化培训基地轮转。各直属医院基地密切配合医学院校，加强医学专业硕士学历教育。</w:t>
      </w:r>
    </w:p>
    <w:p w14:paraId="56C51739">
      <w:pPr>
        <w:pageBreakBefore w:val="0"/>
        <w:kinsoku/>
        <w:wordWrap/>
        <w:overflowPunct/>
        <w:topLinePunct w:val="0"/>
        <w:autoSpaceDE/>
        <w:autoSpaceDN/>
        <w:bidi w:val="0"/>
        <w:adjustRightInd/>
        <w:snapToGrid/>
        <w:spacing w:before="0" w:after="0" w:line="540" w:lineRule="exact"/>
        <w:ind w:right="0" w:rightChars="0" w:firstLine="640"/>
        <w:textAlignment w:val="auto"/>
        <w:rPr>
          <w:rFonts w:hint="eastAsia" w:ascii="仿宋_GB2312" w:hAnsi="仿宋_GB2312" w:eastAsia="仿宋_GB2312" w:cs="仿宋_GB2312"/>
          <w:b w:val="0"/>
          <w:bCs w:val="0"/>
          <w:i w:val="0"/>
          <w:strike w:val="0"/>
          <w:color w:val="000000"/>
          <w:sz w:val="32"/>
          <w:u w:val="none"/>
        </w:rPr>
      </w:pPr>
      <w:r>
        <w:rPr>
          <w:rFonts w:hint="eastAsia" w:ascii="仿宋_GB2312" w:hAnsi="仿宋_GB2312" w:eastAsia="仿宋_GB2312" w:cs="仿宋_GB2312"/>
          <w:b w:val="0"/>
          <w:bCs w:val="0"/>
          <w:i w:val="0"/>
          <w:strike w:val="0"/>
          <w:color w:val="000000"/>
          <w:sz w:val="32"/>
          <w:u w:val="none"/>
          <w:shd w:val="clear" w:color="auto" w:fill="auto"/>
        </w:rPr>
        <w:t>2023年度，共有1260名专业硕士</w:t>
      </w:r>
      <w:r>
        <w:rPr>
          <w:rFonts w:hint="eastAsia" w:ascii="仿宋_GB2312" w:hAnsi="仿宋_GB2312" w:eastAsia="仿宋_GB2312" w:cs="仿宋_GB2312"/>
          <w:b w:val="0"/>
          <w:bCs w:val="0"/>
          <w:i w:val="0"/>
          <w:strike w:val="0"/>
          <w:color w:val="000000"/>
          <w:sz w:val="32"/>
          <w:u w:val="none"/>
        </w:rPr>
        <w:t>完成住院医师规范化培训取得合格证（即“四证合一”专硕）。另据不完全统</w:t>
      </w:r>
      <w:r>
        <w:rPr>
          <w:rFonts w:hint="eastAsia" w:ascii="仿宋_GB2312" w:hAnsi="仿宋_GB2312" w:eastAsia="仿宋_GB2312" w:cs="仿宋_GB2312"/>
          <w:b w:val="0"/>
          <w:bCs w:val="0"/>
          <w:i w:val="0"/>
          <w:strike w:val="0"/>
          <w:color w:val="000000"/>
          <w:sz w:val="32"/>
          <w:u w:val="none"/>
          <w:shd w:val="clear" w:color="auto" w:fill="auto"/>
        </w:rPr>
        <w:t>计，三十余名本科住院医师在取得规范化培训合格证书后成功申请获得医学专业硕士学位</w:t>
      </w:r>
      <w:r>
        <w:rPr>
          <w:rFonts w:hint="eastAsia" w:ascii="仿宋_GB2312" w:hAnsi="仿宋_GB2312" w:eastAsia="仿宋_GB2312" w:cs="仿宋_GB2312"/>
          <w:b w:val="0"/>
          <w:bCs w:val="0"/>
          <w:i w:val="0"/>
          <w:strike w:val="0"/>
          <w:color w:val="000000"/>
          <w:sz w:val="32"/>
          <w:u w:val="none"/>
        </w:rPr>
        <w:t>。2020年，国务院办公厅发布《关于加快医学教育创新发展的指导意见》（国办发〔2020〕34号），强调“对经住培合格的本科学历临床医师，在人员招聘、职称晋升、岗位聘用、薪酬待遇等方面，与临床医学、中医专业学位硕士研究生同等对待”，市直属单位与各区积极响应，及时调整招录、晋升等政策，进一步深化医教协同内涵。</w:t>
      </w:r>
    </w:p>
    <w:p w14:paraId="02C80012">
      <w:pPr>
        <w:pageBreakBefore w:val="0"/>
        <w:kinsoku/>
        <w:wordWrap/>
        <w:overflowPunct/>
        <w:topLinePunct w:val="0"/>
        <w:autoSpaceDE/>
        <w:autoSpaceDN/>
        <w:bidi w:val="0"/>
        <w:adjustRightInd/>
        <w:snapToGrid/>
        <w:spacing w:before="0" w:after="0" w:line="540" w:lineRule="exact"/>
        <w:ind w:left="0" w:firstLineChars="200"/>
        <w:jc w:val="both"/>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i w:val="0"/>
          <w:strike w:val="0"/>
          <w:color w:val="000000"/>
          <w:sz w:val="32"/>
          <w:u w:val="none"/>
          <w:lang w:val="en-US" w:eastAsia="zh-CN"/>
        </w:rPr>
        <w:t>4.</w:t>
      </w:r>
      <w:r>
        <w:rPr>
          <w:rFonts w:hint="eastAsia" w:ascii="仿宋_GB2312" w:hAnsi="仿宋_GB2312" w:eastAsia="仿宋_GB2312" w:cs="仿宋_GB2312"/>
          <w:b w:val="0"/>
          <w:bCs w:val="0"/>
          <w:i w:val="0"/>
          <w:strike w:val="0"/>
          <w:color w:val="000000"/>
          <w:sz w:val="32"/>
          <w:u w:val="none"/>
        </w:rPr>
        <w:t>做好各级继续医学教育项目申报评审工作。</w:t>
      </w:r>
    </w:p>
    <w:p w14:paraId="1B3EB74A">
      <w:pPr>
        <w:pageBreakBefore w:val="0"/>
        <w:kinsoku/>
        <w:wordWrap/>
        <w:overflowPunct/>
        <w:topLinePunct w:val="0"/>
        <w:autoSpaceDE/>
        <w:autoSpaceDN/>
        <w:bidi w:val="0"/>
        <w:adjustRightInd/>
        <w:snapToGrid/>
        <w:spacing w:before="0" w:after="0" w:line="540" w:lineRule="exact"/>
        <w:ind w:right="0" w:rightChars="0" w:firstLine="640"/>
        <w:textAlignment w:val="auto"/>
        <w:rPr>
          <w:rFonts w:hint="eastAsia" w:ascii="仿宋_GB2312" w:hAnsi="仿宋_GB2312" w:eastAsia="仿宋_GB2312" w:cs="仿宋_GB2312"/>
          <w:b w:val="0"/>
          <w:bCs w:val="0"/>
          <w:i w:val="0"/>
          <w:strike w:val="0"/>
          <w:color w:val="000000"/>
          <w:sz w:val="32"/>
          <w:u w:val="none"/>
        </w:rPr>
      </w:pPr>
      <w:r>
        <w:rPr>
          <w:rFonts w:hint="eastAsia" w:ascii="仿宋_GB2312" w:hAnsi="仿宋_GB2312" w:eastAsia="仿宋_GB2312" w:cs="仿宋_GB2312"/>
          <w:b w:val="0"/>
          <w:bCs w:val="0"/>
          <w:i w:val="0"/>
          <w:strike w:val="0"/>
          <w:color w:val="000000"/>
          <w:sz w:val="32"/>
          <w:u w:val="none"/>
        </w:rPr>
        <w:t>2023年按计划举办国家级继续医学项目97项，省级项目178项，市级项目278项；申请2024年国家级备案项目102项，省级备案项目128项。</w:t>
      </w:r>
    </w:p>
    <w:p w14:paraId="51AF91CE">
      <w:pPr>
        <w:pageBreakBefore w:val="0"/>
        <w:kinsoku/>
        <w:wordWrap/>
        <w:overflowPunct/>
        <w:topLinePunct w:val="0"/>
        <w:autoSpaceDE/>
        <w:autoSpaceDN/>
        <w:bidi w:val="0"/>
        <w:adjustRightInd/>
        <w:snapToGrid/>
        <w:spacing w:before="0" w:after="0" w:line="540" w:lineRule="exact"/>
        <w:ind w:right="0" w:rightChars="0" w:firstLine="640"/>
        <w:textAlignment w:val="auto"/>
        <w:rPr>
          <w:rFonts w:hint="eastAsia" w:ascii="仿宋_GB2312" w:hAnsi="仿宋_GB2312" w:eastAsia="仿宋_GB2312" w:cs="仿宋_GB2312"/>
          <w:b w:val="0"/>
          <w:bCs w:val="0"/>
          <w:i w:val="0"/>
          <w:strike w:val="0"/>
          <w:color w:val="000000"/>
          <w:sz w:val="32"/>
          <w:u w:val="none"/>
          <w:lang w:eastAsia="zh-CN"/>
        </w:rPr>
      </w:pPr>
      <w:r>
        <w:rPr>
          <w:rFonts w:hint="eastAsia" w:ascii="仿宋_GB2312" w:hAnsi="仿宋_GB2312" w:eastAsia="仿宋_GB2312" w:cs="仿宋_GB2312"/>
          <w:b w:val="0"/>
          <w:bCs w:val="0"/>
          <w:i w:val="0"/>
          <w:strike w:val="0"/>
          <w:color w:val="000000"/>
          <w:sz w:val="32"/>
          <w:u w:val="none"/>
          <w:lang w:eastAsia="zh-CN"/>
        </w:rPr>
        <w:t>（三）重点专科建设工作方面</w:t>
      </w:r>
    </w:p>
    <w:p w14:paraId="51C0E300">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年度南京市</w:t>
      </w:r>
      <w:r>
        <w:rPr>
          <w:rFonts w:hint="eastAsia" w:ascii="仿宋_GB2312" w:hAnsi="仿宋_GB2312" w:eastAsia="仿宋_GB2312" w:cs="仿宋_GB2312"/>
          <w:b w:val="0"/>
          <w:bCs w:val="0"/>
          <w:sz w:val="32"/>
          <w:szCs w:val="32"/>
          <w:lang w:eastAsia="zh-CN"/>
        </w:rPr>
        <w:t>各</w:t>
      </w:r>
      <w:r>
        <w:rPr>
          <w:rFonts w:hint="eastAsia" w:ascii="仿宋_GB2312" w:hAnsi="仿宋_GB2312" w:eastAsia="仿宋_GB2312" w:cs="仿宋_GB2312"/>
          <w:b w:val="0"/>
          <w:bCs w:val="0"/>
          <w:sz w:val="32"/>
          <w:szCs w:val="32"/>
        </w:rPr>
        <w:t>医学重点专科</w:t>
      </w:r>
      <w:r>
        <w:rPr>
          <w:rFonts w:hint="eastAsia" w:ascii="仿宋_GB2312" w:hAnsi="仿宋_GB2312" w:eastAsia="仿宋_GB2312" w:cs="仿宋_GB2312"/>
          <w:b w:val="0"/>
          <w:bCs w:val="0"/>
          <w:sz w:val="32"/>
          <w:szCs w:val="32"/>
          <w:lang w:val="en-US" w:eastAsia="zh-CN"/>
        </w:rPr>
        <w:t>积极开展医疗新技术，举办各类继续教育项目，科研文章、专利数量不断增加，</w:t>
      </w:r>
      <w:r>
        <w:rPr>
          <w:rFonts w:hint="eastAsia" w:ascii="仿宋_GB2312" w:hAnsi="仿宋_GB2312" w:eastAsia="仿宋_GB2312" w:cs="仿宋_GB2312"/>
          <w:b w:val="0"/>
          <w:bCs w:val="0"/>
          <w:sz w:val="32"/>
          <w:szCs w:val="32"/>
          <w:lang w:eastAsia="zh-Hans"/>
        </w:rPr>
        <w:t>有完善的专科人才培养计划，医疗服务能力与水平</w:t>
      </w:r>
      <w:r>
        <w:rPr>
          <w:rFonts w:hint="eastAsia" w:ascii="仿宋_GB2312" w:hAnsi="仿宋_GB2312" w:eastAsia="仿宋_GB2312" w:cs="仿宋_GB2312"/>
          <w:b w:val="0"/>
          <w:bCs w:val="0"/>
          <w:sz w:val="32"/>
          <w:szCs w:val="32"/>
          <w:lang w:val="en-US" w:eastAsia="zh-CN"/>
        </w:rPr>
        <w:t>也不断提升。</w:t>
      </w:r>
      <w:r>
        <w:rPr>
          <w:rFonts w:hint="eastAsia" w:ascii="仿宋_GB2312" w:hAnsi="仿宋_GB2312" w:eastAsia="仿宋_GB2312" w:cs="仿宋_GB2312"/>
          <w:b w:val="0"/>
          <w:bCs w:val="0"/>
          <w:sz w:val="32"/>
          <w:szCs w:val="32"/>
        </w:rPr>
        <w:t>重点专科建设专项资金主要是用于更新和添置对重点专科发展有重大影响的关键性技术、人才和设备等，加强了学科建设和人才培养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取得了较好的成效。</w:t>
      </w:r>
    </w:p>
    <w:p w14:paraId="30B5CB34">
      <w:pPr>
        <w:pStyle w:val="4"/>
        <w:keepNext w:val="0"/>
        <w:keepLines w:val="0"/>
        <w:pageBreakBefore w:val="0"/>
        <w:widowControl w:val="0"/>
        <w:numPr>
          <w:ilvl w:val="0"/>
          <w:numId w:val="1"/>
        </w:numPr>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中医传承创新发展工作方面</w:t>
      </w:r>
    </w:p>
    <w:p w14:paraId="07FDE1D5">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i w:val="0"/>
          <w:iCs w:val="0"/>
          <w:color w:val="000000"/>
          <w:kern w:val="0"/>
          <w:sz w:val="32"/>
          <w:szCs w:val="32"/>
        </w:rPr>
      </w:pPr>
      <w:r>
        <w:rPr>
          <w:rFonts w:hint="eastAsia" w:ascii="仿宋_GB2312" w:hAnsi="仿宋_GB2312" w:eastAsia="仿宋_GB2312" w:cs="仿宋_GB2312"/>
          <w:b w:val="0"/>
          <w:bCs w:val="0"/>
          <w:color w:val="000000"/>
          <w:kern w:val="0"/>
          <w:sz w:val="32"/>
          <w:szCs w:val="32"/>
          <w:lang w:val="en-US" w:eastAsia="zh-CN" w:bidi="ar"/>
        </w:rPr>
        <w:t>1.优化中医药资源布局。浦口区、溧水区顺利通过全国基层中医药工作示范县省级评审；</w:t>
      </w:r>
      <w:r>
        <w:rPr>
          <w:rFonts w:hint="eastAsia" w:ascii="仿宋_GB2312" w:hAnsi="仿宋_GB2312" w:eastAsia="仿宋_GB2312" w:cs="仿宋_GB2312"/>
          <w:b w:val="0"/>
          <w:bCs w:val="0"/>
          <w:i w:val="0"/>
          <w:iCs w:val="0"/>
          <w:color w:val="000000"/>
          <w:kern w:val="0"/>
          <w:sz w:val="32"/>
          <w:szCs w:val="32"/>
          <w:lang w:eastAsia="zh-CN"/>
        </w:rPr>
        <w:t>秦淮区石门坎、建邺区莲花、江北新区沿江街道等6家社区卫生服务中心中医馆通过五级中医馆的评审验收；玄武区新街口、雨花岱山、栖霞仙林、鼓楼建宁路等10个基层医疗卫生机构中医馆被确认为五级中医馆建设单位。</w:t>
      </w:r>
      <w:r>
        <w:rPr>
          <w:rFonts w:hint="eastAsia" w:ascii="仿宋_GB2312" w:hAnsi="仿宋_GB2312" w:eastAsia="仿宋_GB2312" w:cs="仿宋_GB2312"/>
          <w:b w:val="0"/>
          <w:bCs w:val="0"/>
          <w:i w:val="0"/>
          <w:iCs w:val="0"/>
          <w:color w:val="000000"/>
          <w:kern w:val="0"/>
          <w:sz w:val="32"/>
          <w:szCs w:val="32"/>
        </w:rPr>
        <w:t>2023年新建市级名中医工作室23个、市名中医工作室基层工作站39个、区名中医工作室76个,新建老药工传承工作室6个</w:t>
      </w:r>
      <w:r>
        <w:rPr>
          <w:rFonts w:hint="eastAsia" w:ascii="仿宋_GB2312" w:hAnsi="仿宋_GB2312" w:eastAsia="仿宋_GB2312" w:cs="仿宋_GB2312"/>
          <w:b w:val="0"/>
          <w:bCs w:val="0"/>
          <w:i w:val="0"/>
          <w:iCs w:val="0"/>
          <w:color w:val="000000"/>
          <w:kern w:val="0"/>
          <w:sz w:val="32"/>
          <w:szCs w:val="32"/>
          <w:lang w:eastAsia="zh-CN"/>
        </w:rPr>
        <w:t>，</w:t>
      </w:r>
      <w:r>
        <w:rPr>
          <w:rFonts w:hint="eastAsia" w:ascii="仿宋_GB2312" w:hAnsi="仿宋_GB2312" w:eastAsia="仿宋_GB2312" w:cs="仿宋_GB2312"/>
          <w:b w:val="0"/>
          <w:bCs w:val="0"/>
          <w:i w:val="0"/>
          <w:iCs w:val="0"/>
          <w:color w:val="000000"/>
          <w:kern w:val="0"/>
          <w:sz w:val="32"/>
          <w:szCs w:val="32"/>
          <w:lang w:val="en-US" w:eastAsia="zh-CN"/>
        </w:rPr>
        <w:t>组织开展第六批名老中医药专家师承带教工作（39名老师、78名中青年医师）</w:t>
      </w:r>
      <w:r>
        <w:rPr>
          <w:rFonts w:hint="eastAsia" w:ascii="仿宋_GB2312" w:hAnsi="仿宋_GB2312" w:eastAsia="仿宋_GB2312" w:cs="仿宋_GB2312"/>
          <w:b w:val="0"/>
          <w:bCs w:val="0"/>
          <w:i w:val="0"/>
          <w:iCs w:val="0"/>
          <w:color w:val="000000"/>
          <w:kern w:val="0"/>
          <w:sz w:val="32"/>
          <w:szCs w:val="32"/>
        </w:rPr>
        <w:t>。推进区级中医医院提档升级</w:t>
      </w:r>
      <w:r>
        <w:rPr>
          <w:rFonts w:hint="eastAsia" w:ascii="仿宋_GB2312" w:hAnsi="仿宋_GB2312" w:eastAsia="仿宋_GB2312" w:cs="仿宋_GB2312"/>
          <w:b w:val="0"/>
          <w:bCs w:val="0"/>
          <w:i w:val="0"/>
          <w:iCs w:val="0"/>
          <w:color w:val="000000"/>
          <w:kern w:val="0"/>
          <w:sz w:val="32"/>
          <w:szCs w:val="32"/>
          <w:lang w:eastAsia="zh-CN"/>
        </w:rPr>
        <w:t>，</w:t>
      </w:r>
      <w:r>
        <w:rPr>
          <w:rFonts w:hint="eastAsia" w:ascii="仿宋_GB2312" w:hAnsi="仿宋_GB2312" w:eastAsia="仿宋_GB2312" w:cs="仿宋_GB2312"/>
          <w:b w:val="0"/>
          <w:bCs w:val="0"/>
          <w:i w:val="0"/>
          <w:iCs w:val="0"/>
          <w:color w:val="000000"/>
          <w:kern w:val="0"/>
          <w:sz w:val="32"/>
          <w:szCs w:val="32"/>
        </w:rPr>
        <w:t>三级中医医院“国考”成绩继续稳中有升，市中医院</w:t>
      </w:r>
      <w:r>
        <w:rPr>
          <w:rFonts w:hint="eastAsia" w:ascii="仿宋_GB2312" w:hAnsi="仿宋_GB2312" w:eastAsia="仿宋_GB2312" w:cs="仿宋_GB2312"/>
          <w:b w:val="0"/>
          <w:bCs w:val="0"/>
          <w:i w:val="0"/>
          <w:iCs w:val="0"/>
          <w:color w:val="000000"/>
          <w:kern w:val="0"/>
          <w:sz w:val="32"/>
          <w:szCs w:val="32"/>
          <w:lang w:eastAsia="zh-CN"/>
        </w:rPr>
        <w:t>跻身</w:t>
      </w:r>
      <w:r>
        <w:rPr>
          <w:rFonts w:hint="eastAsia" w:ascii="仿宋_GB2312" w:hAnsi="仿宋_GB2312" w:eastAsia="仿宋_GB2312" w:cs="仿宋_GB2312"/>
          <w:b w:val="0"/>
          <w:bCs w:val="0"/>
          <w:i w:val="0"/>
          <w:iCs w:val="0"/>
          <w:color w:val="000000"/>
          <w:kern w:val="0"/>
          <w:sz w:val="32"/>
          <w:szCs w:val="32"/>
        </w:rPr>
        <w:t>全国前10%行列，浦口区中医院较上一年前进300多位。江宁、溧水、浦口3家区级中医医院获评三级乙等中医院</w:t>
      </w:r>
      <w:r>
        <w:rPr>
          <w:rFonts w:hint="eastAsia" w:ascii="仿宋_GB2312" w:hAnsi="仿宋_GB2312" w:eastAsia="仿宋_GB2312" w:cs="仿宋_GB2312"/>
          <w:b w:val="0"/>
          <w:bCs w:val="0"/>
          <w:i w:val="0"/>
          <w:iCs w:val="0"/>
          <w:color w:val="000000"/>
          <w:kern w:val="0"/>
          <w:sz w:val="32"/>
          <w:szCs w:val="32"/>
          <w:lang w:eastAsia="zh-CN"/>
        </w:rPr>
        <w:t>。</w:t>
      </w:r>
      <w:r>
        <w:rPr>
          <w:rFonts w:hint="eastAsia" w:ascii="仿宋_GB2312" w:hAnsi="仿宋_GB2312" w:eastAsia="仿宋_GB2312" w:cs="仿宋_GB2312"/>
          <w:b w:val="0"/>
          <w:bCs w:val="0"/>
          <w:i w:val="0"/>
          <w:iCs w:val="0"/>
          <w:color w:val="000000"/>
          <w:kern w:val="0"/>
          <w:sz w:val="32"/>
          <w:szCs w:val="32"/>
        </w:rPr>
        <w:t>对六合区中医医院、高淳中医院评审周期期满中医医院进行了二级甲等中医医院的评审。同时，还多次组织专家对六合、高淳区两所中医医院转设三级中医医院工作进行督导。</w:t>
      </w:r>
    </w:p>
    <w:p w14:paraId="2911D842">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i w:val="0"/>
          <w:i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bidi="ar"/>
        </w:rPr>
        <w:t>2.强化中医重点专科建设。</w:t>
      </w:r>
      <w:r>
        <w:rPr>
          <w:rFonts w:hint="eastAsia" w:ascii="仿宋_GB2312" w:hAnsi="仿宋_GB2312" w:eastAsia="仿宋_GB2312" w:cs="仿宋_GB2312"/>
          <w:b w:val="0"/>
          <w:bCs w:val="0"/>
          <w:i w:val="0"/>
          <w:iCs w:val="0"/>
          <w:color w:val="000000"/>
          <w:kern w:val="0"/>
          <w:sz w:val="32"/>
          <w:szCs w:val="32"/>
        </w:rPr>
        <w:t>新增省级中医重点专科12</w:t>
      </w:r>
      <w:r>
        <w:rPr>
          <w:rFonts w:hint="eastAsia" w:ascii="仿宋_GB2312" w:hAnsi="仿宋_GB2312" w:eastAsia="仿宋_GB2312" w:cs="仿宋_GB2312"/>
          <w:b w:val="0"/>
          <w:bCs w:val="0"/>
          <w:i w:val="0"/>
          <w:iCs w:val="0"/>
          <w:color w:val="000000"/>
          <w:kern w:val="0"/>
          <w:sz w:val="32"/>
          <w:szCs w:val="32"/>
          <w:lang w:val="en-US" w:eastAsia="zh-CN"/>
        </w:rPr>
        <w:t>个，分别为市中医院（肾病、脾胃）、市中西结合医院（骨伤）、江宁中医院（脾胃）、浦口中医院（肛肠、骨伤）、溧水中医院（骨伤、脾胃）、高淳中医院（针灸、脾胃）、六合中医院（骨伤）和秦淮中医院（妇科）。</w:t>
      </w:r>
      <w:r>
        <w:rPr>
          <w:rFonts w:hint="eastAsia" w:ascii="仿宋_GB2312" w:hAnsi="仿宋_GB2312" w:eastAsia="仿宋_GB2312" w:cs="仿宋_GB2312"/>
          <w:b w:val="0"/>
          <w:bCs w:val="0"/>
          <w:i w:val="0"/>
          <w:iCs w:val="0"/>
          <w:color w:val="000000"/>
          <w:kern w:val="0"/>
          <w:sz w:val="32"/>
          <w:szCs w:val="32"/>
        </w:rPr>
        <w:t>市级中医重点专科</w:t>
      </w:r>
      <w:r>
        <w:rPr>
          <w:rFonts w:hint="eastAsia" w:ascii="仿宋_GB2312" w:hAnsi="仿宋_GB2312" w:eastAsia="仿宋_GB2312" w:cs="仿宋_GB2312"/>
          <w:b w:val="0"/>
          <w:bCs w:val="0"/>
          <w:i w:val="0"/>
          <w:iCs w:val="0"/>
          <w:color w:val="000000"/>
          <w:kern w:val="0"/>
          <w:sz w:val="32"/>
          <w:szCs w:val="32"/>
          <w:lang w:val="en-US" w:eastAsia="zh-CN"/>
        </w:rPr>
        <w:t>56个，其中在建23个，2023年度确认南京市中医院风湿病科等14个专科为复核合格专科（</w:t>
      </w:r>
      <w:r>
        <w:rPr>
          <w:rFonts w:hint="eastAsia" w:ascii="仿宋_GB2312" w:hAnsi="仿宋_GB2312" w:eastAsia="仿宋_GB2312" w:cs="仿宋_GB2312"/>
          <w:b w:val="0"/>
          <w:bCs w:val="0"/>
          <w:sz w:val="32"/>
          <w:szCs w:val="32"/>
        </w:rPr>
        <w:t>宁卫办中医〔2023〕4号</w:t>
      </w:r>
      <w:r>
        <w:rPr>
          <w:rFonts w:hint="eastAsia" w:ascii="仿宋_GB2312" w:hAnsi="仿宋_GB2312" w:eastAsia="仿宋_GB2312" w:cs="仿宋_GB2312"/>
          <w:b w:val="0"/>
          <w:bCs w:val="0"/>
          <w:i w:val="0"/>
          <w:iCs w:val="0"/>
          <w:color w:val="000000"/>
          <w:kern w:val="0"/>
          <w:sz w:val="32"/>
          <w:szCs w:val="32"/>
          <w:lang w:val="en-US" w:eastAsia="zh-CN"/>
        </w:rPr>
        <w:t>）。</w:t>
      </w:r>
    </w:p>
    <w:p w14:paraId="375506C9">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i w:val="0"/>
          <w:iCs w:val="0"/>
          <w:color w:val="000000"/>
          <w:kern w:val="0"/>
          <w:sz w:val="32"/>
          <w:szCs w:val="32"/>
          <w:highlight w:val="none"/>
          <w:lang w:eastAsia="zh-CN"/>
        </w:rPr>
      </w:pPr>
      <w:r>
        <w:rPr>
          <w:rFonts w:hint="eastAsia" w:ascii="仿宋_GB2312" w:hAnsi="仿宋_GB2312" w:eastAsia="仿宋_GB2312" w:cs="仿宋_GB2312"/>
          <w:b w:val="0"/>
          <w:bCs w:val="0"/>
          <w:i w:val="0"/>
          <w:iCs w:val="0"/>
          <w:color w:val="000000"/>
          <w:kern w:val="0"/>
          <w:sz w:val="32"/>
          <w:szCs w:val="32"/>
          <w:lang w:val="en-US" w:eastAsia="zh-CN"/>
        </w:rPr>
        <w:t>3.加强中医药特色人才培养。中医药青年人才2023年6月组织进行中期考核，现有73人；</w:t>
      </w:r>
      <w:r>
        <w:rPr>
          <w:rFonts w:hint="eastAsia" w:ascii="仿宋_GB2312" w:hAnsi="仿宋_GB2312" w:eastAsia="仿宋_GB2312" w:cs="仿宋_GB2312"/>
          <w:b w:val="0"/>
          <w:bCs w:val="0"/>
          <w:i w:val="0"/>
          <w:iCs w:val="0"/>
          <w:color w:val="000000"/>
          <w:kern w:val="0"/>
          <w:sz w:val="32"/>
          <w:szCs w:val="32"/>
        </w:rPr>
        <w:t>启动首批83名西学中高级人才培养工作</w:t>
      </w:r>
      <w:r>
        <w:rPr>
          <w:rFonts w:hint="eastAsia" w:ascii="仿宋_GB2312" w:hAnsi="仿宋_GB2312" w:eastAsia="仿宋_GB2312" w:cs="仿宋_GB2312"/>
          <w:b w:val="0"/>
          <w:bCs w:val="0"/>
          <w:i w:val="0"/>
          <w:iCs w:val="0"/>
          <w:color w:val="000000"/>
          <w:kern w:val="0"/>
          <w:sz w:val="32"/>
          <w:szCs w:val="32"/>
          <w:lang w:eastAsia="zh-CN"/>
        </w:rPr>
        <w:t>；</w:t>
      </w:r>
      <w:r>
        <w:rPr>
          <w:rFonts w:hint="eastAsia" w:ascii="仿宋_GB2312" w:hAnsi="仿宋_GB2312" w:eastAsia="仿宋_GB2312" w:cs="仿宋_GB2312"/>
          <w:b w:val="0"/>
          <w:bCs w:val="0"/>
          <w:i w:val="0"/>
          <w:iCs w:val="0"/>
          <w:color w:val="000000"/>
          <w:kern w:val="0"/>
          <w:sz w:val="32"/>
          <w:szCs w:val="32"/>
        </w:rPr>
        <w:t>遴选30名中医馆中医骨干人才参加省中医药局2022年度培训班</w:t>
      </w:r>
      <w:r>
        <w:rPr>
          <w:rFonts w:hint="eastAsia" w:ascii="仿宋_GB2312" w:hAnsi="仿宋_GB2312" w:eastAsia="仿宋_GB2312" w:cs="仿宋_GB2312"/>
          <w:b w:val="0"/>
          <w:bCs w:val="0"/>
          <w:i w:val="0"/>
          <w:iCs w:val="0"/>
          <w:color w:val="000000"/>
          <w:kern w:val="0"/>
          <w:sz w:val="32"/>
          <w:szCs w:val="32"/>
          <w:lang w:eastAsia="zh-CN"/>
        </w:rPr>
        <w:t>；</w:t>
      </w:r>
      <w:r>
        <w:rPr>
          <w:rFonts w:hint="eastAsia" w:ascii="仿宋_GB2312" w:hAnsi="仿宋_GB2312" w:eastAsia="仿宋_GB2312" w:cs="仿宋_GB2312"/>
          <w:b w:val="0"/>
          <w:bCs w:val="0"/>
          <w:i w:val="0"/>
          <w:iCs w:val="0"/>
          <w:color w:val="000000"/>
          <w:kern w:val="0"/>
          <w:sz w:val="32"/>
          <w:szCs w:val="32"/>
        </w:rPr>
        <w:t>按省中医药局的统一部署，委托南京市中医院组织开展2022年度基层卫生技术人员中医药知识与技能培训，参培人员140余名</w:t>
      </w:r>
      <w:r>
        <w:rPr>
          <w:rFonts w:hint="eastAsia" w:ascii="仿宋_GB2312" w:hAnsi="仿宋_GB2312" w:eastAsia="仿宋_GB2312" w:cs="仿宋_GB2312"/>
          <w:b w:val="0"/>
          <w:bCs w:val="0"/>
          <w:i w:val="0"/>
          <w:iCs w:val="0"/>
          <w:color w:val="000000"/>
          <w:kern w:val="0"/>
          <w:sz w:val="32"/>
          <w:szCs w:val="32"/>
          <w:highlight w:val="none"/>
        </w:rPr>
        <w:t>。</w:t>
      </w:r>
      <w:r>
        <w:rPr>
          <w:rFonts w:hint="eastAsia" w:ascii="仿宋_GB2312" w:hAnsi="仿宋_GB2312" w:eastAsia="仿宋_GB2312" w:cs="仿宋_GB2312"/>
          <w:b w:val="0"/>
          <w:bCs w:val="0"/>
          <w:i w:val="0"/>
          <w:iCs w:val="0"/>
          <w:color w:val="000000"/>
          <w:kern w:val="0"/>
          <w:sz w:val="32"/>
          <w:szCs w:val="32"/>
          <w:highlight w:val="none"/>
          <w:lang w:val="en-US" w:eastAsia="zh-CN"/>
        </w:rPr>
        <w:t>2023年度</w:t>
      </w:r>
      <w:r>
        <w:rPr>
          <w:rFonts w:hint="eastAsia" w:ascii="仿宋_GB2312" w:hAnsi="仿宋_GB2312" w:eastAsia="仿宋_GB2312" w:cs="仿宋_GB2312"/>
          <w:b w:val="0"/>
          <w:bCs w:val="0"/>
          <w:i w:val="0"/>
          <w:iCs w:val="0"/>
          <w:color w:val="000000"/>
          <w:kern w:val="0"/>
          <w:sz w:val="32"/>
          <w:szCs w:val="32"/>
          <w:highlight w:val="none"/>
        </w:rPr>
        <w:t>中医医师规范化培训</w:t>
      </w:r>
      <w:r>
        <w:rPr>
          <w:rFonts w:hint="eastAsia" w:ascii="仿宋_GB2312" w:hAnsi="仿宋_GB2312" w:eastAsia="仿宋_GB2312" w:cs="仿宋_GB2312"/>
          <w:b w:val="0"/>
          <w:bCs w:val="0"/>
          <w:i w:val="0"/>
          <w:iCs w:val="0"/>
          <w:color w:val="000000"/>
          <w:kern w:val="0"/>
          <w:sz w:val="32"/>
          <w:szCs w:val="32"/>
          <w:highlight w:val="none"/>
          <w:lang w:val="en-US" w:eastAsia="zh-CN"/>
        </w:rPr>
        <w:t>南京地区</w:t>
      </w:r>
      <w:r>
        <w:rPr>
          <w:rFonts w:hint="eastAsia" w:ascii="仿宋_GB2312" w:hAnsi="仿宋_GB2312" w:eastAsia="仿宋_GB2312" w:cs="仿宋_GB2312"/>
          <w:b w:val="0"/>
          <w:bCs w:val="0"/>
          <w:i w:val="0"/>
          <w:iCs w:val="0"/>
          <w:color w:val="000000"/>
          <w:kern w:val="0"/>
          <w:sz w:val="32"/>
          <w:szCs w:val="32"/>
          <w:highlight w:val="none"/>
        </w:rPr>
        <w:t>7</w:t>
      </w:r>
      <w:r>
        <w:rPr>
          <w:rFonts w:hint="eastAsia" w:ascii="仿宋_GB2312" w:hAnsi="仿宋_GB2312" w:eastAsia="仿宋_GB2312" w:cs="仿宋_GB2312"/>
          <w:b w:val="0"/>
          <w:bCs w:val="0"/>
          <w:i w:val="0"/>
          <w:iCs w:val="0"/>
          <w:color w:val="000000"/>
          <w:kern w:val="0"/>
          <w:sz w:val="32"/>
          <w:szCs w:val="32"/>
          <w:highlight w:val="none"/>
          <w:lang w:val="en-US" w:eastAsia="zh-CN"/>
        </w:rPr>
        <w:t>80余人</w:t>
      </w:r>
      <w:r>
        <w:rPr>
          <w:rFonts w:hint="eastAsia" w:ascii="仿宋_GB2312" w:hAnsi="仿宋_GB2312" w:eastAsia="仿宋_GB2312" w:cs="仿宋_GB2312"/>
          <w:b w:val="0"/>
          <w:bCs w:val="0"/>
          <w:i w:val="0"/>
          <w:iCs w:val="0"/>
          <w:color w:val="000000"/>
          <w:kern w:val="0"/>
          <w:sz w:val="32"/>
          <w:szCs w:val="32"/>
          <w:highlight w:val="none"/>
        </w:rPr>
        <w:t>考核合格</w:t>
      </w:r>
      <w:r>
        <w:rPr>
          <w:rFonts w:hint="eastAsia" w:ascii="仿宋_GB2312" w:hAnsi="仿宋_GB2312" w:eastAsia="仿宋_GB2312" w:cs="仿宋_GB2312"/>
          <w:b w:val="0"/>
          <w:bCs w:val="0"/>
          <w:i w:val="0"/>
          <w:iCs w:val="0"/>
          <w:color w:val="000000"/>
          <w:kern w:val="0"/>
          <w:sz w:val="32"/>
          <w:szCs w:val="32"/>
          <w:highlight w:val="none"/>
          <w:lang w:eastAsia="zh-CN"/>
        </w:rPr>
        <w:t>。</w:t>
      </w:r>
    </w:p>
    <w:p w14:paraId="51CC65BF">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i w:val="0"/>
          <w:iCs w:val="0"/>
          <w:color w:val="000000"/>
          <w:kern w:val="0"/>
          <w:sz w:val="32"/>
          <w:szCs w:val="32"/>
        </w:rPr>
      </w:pPr>
      <w:r>
        <w:rPr>
          <w:rFonts w:hint="eastAsia" w:ascii="仿宋_GB2312" w:hAnsi="仿宋_GB2312" w:eastAsia="仿宋_GB2312" w:cs="仿宋_GB2312"/>
          <w:b w:val="0"/>
          <w:bCs w:val="0"/>
          <w:i w:val="0"/>
          <w:iCs w:val="0"/>
          <w:color w:val="000000"/>
          <w:kern w:val="0"/>
          <w:sz w:val="32"/>
          <w:szCs w:val="32"/>
          <w:lang w:val="en-US" w:eastAsia="zh-CN"/>
        </w:rPr>
        <w:t>4.规范</w:t>
      </w:r>
      <w:r>
        <w:rPr>
          <w:rFonts w:hint="eastAsia" w:ascii="仿宋_GB2312" w:hAnsi="仿宋_GB2312" w:eastAsia="仿宋_GB2312" w:cs="仿宋_GB2312"/>
          <w:b w:val="0"/>
          <w:bCs w:val="0"/>
          <w:i w:val="0"/>
          <w:iCs w:val="0"/>
          <w:color w:val="000000"/>
          <w:kern w:val="0"/>
          <w:sz w:val="32"/>
          <w:szCs w:val="32"/>
        </w:rPr>
        <w:t>中医机构医疗行为</w:t>
      </w:r>
      <w:r>
        <w:rPr>
          <w:rFonts w:hint="eastAsia" w:ascii="仿宋_GB2312" w:hAnsi="仿宋_GB2312" w:eastAsia="仿宋_GB2312" w:cs="仿宋_GB2312"/>
          <w:b w:val="0"/>
          <w:bCs w:val="0"/>
          <w:i w:val="0"/>
          <w:iCs w:val="0"/>
          <w:color w:val="000000"/>
          <w:kern w:val="0"/>
          <w:sz w:val="32"/>
          <w:szCs w:val="32"/>
          <w:lang w:val="en-US" w:eastAsia="zh-CN"/>
        </w:rPr>
        <w:t>。</w:t>
      </w:r>
      <w:r>
        <w:rPr>
          <w:rFonts w:hint="eastAsia" w:ascii="仿宋_GB2312" w:hAnsi="仿宋_GB2312" w:eastAsia="仿宋_GB2312" w:cs="仿宋_GB2312"/>
          <w:b w:val="0"/>
          <w:bCs w:val="0"/>
          <w:sz w:val="32"/>
          <w:szCs w:val="32"/>
        </w:rPr>
        <w:t>强化中医医疗服务质量控制管理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47个市级质控中心，中西医医疗机构同质化质控，定期开展质控活动并指导各区级质控中心工作，全面促进医疗质量提升，保障临床医疗安全规范管理。</w:t>
      </w:r>
      <w:r>
        <w:rPr>
          <w:rFonts w:hint="eastAsia" w:ascii="仿宋_GB2312" w:hAnsi="仿宋_GB2312" w:eastAsia="仿宋_GB2312" w:cs="仿宋_GB2312"/>
          <w:b w:val="0"/>
          <w:bCs w:val="0"/>
          <w:sz w:val="32"/>
          <w:szCs w:val="32"/>
          <w:shd w:val="clear" w:color="auto" w:fill="FFFFFF"/>
        </w:rPr>
        <w:t>提升中医卫生监督执法效能</w:t>
      </w:r>
      <w:r>
        <w:rPr>
          <w:rFonts w:hint="eastAsia" w:ascii="仿宋_GB2312" w:hAnsi="仿宋_GB2312" w:eastAsia="仿宋_GB2312" w:cs="仿宋_GB2312"/>
          <w:b w:val="0"/>
          <w:bCs w:val="0"/>
          <w:sz w:val="32"/>
          <w:szCs w:val="32"/>
          <w:shd w:val="clear" w:color="auto" w:fill="FFFFFF"/>
          <w:lang w:eastAsia="zh-CN"/>
        </w:rPr>
        <w:t>，</w:t>
      </w:r>
      <w:r>
        <w:rPr>
          <w:rFonts w:hint="eastAsia" w:ascii="仿宋_GB2312" w:hAnsi="仿宋_GB2312" w:eastAsia="仿宋_GB2312" w:cs="仿宋_GB2312"/>
          <w:b w:val="0"/>
          <w:bCs w:val="0"/>
          <w:sz w:val="32"/>
          <w:szCs w:val="32"/>
          <w:shd w:val="clear" w:color="auto" w:fill="FFFFFF"/>
        </w:rPr>
        <w:t>建设</w:t>
      </w:r>
      <w:r>
        <w:rPr>
          <w:rFonts w:hint="eastAsia" w:ascii="仿宋_GB2312" w:hAnsi="仿宋_GB2312" w:eastAsia="仿宋_GB2312" w:cs="仿宋_GB2312"/>
          <w:b w:val="0"/>
          <w:bCs w:val="0"/>
          <w:sz w:val="32"/>
          <w:szCs w:val="32"/>
        </w:rPr>
        <w:t>中医卫生监督实训基地，在栖霞区、雨花台区试点通过信息化开展中医医疗机构卫生监督非现场执法。</w:t>
      </w:r>
    </w:p>
    <w:p w14:paraId="52B87449">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b w:val="0"/>
          <w:bCs w:val="0"/>
          <w:i w:val="0"/>
          <w:iCs w:val="0"/>
          <w:color w:val="000000"/>
          <w:kern w:val="0"/>
          <w:sz w:val="32"/>
          <w:szCs w:val="32"/>
          <w:lang w:val="en-US" w:eastAsia="zh-CN"/>
        </w:rPr>
        <w:t>5.加强中医药文化宣传。秦淮、六合、高淳等中医医院开设传统疗法特色护理“午间门诊”“延时门诊”，2023年开展中医护理适宜技术近20项，服务量20余万人次。通过</w:t>
      </w:r>
      <w:r>
        <w:rPr>
          <w:rFonts w:hint="eastAsia" w:ascii="仿宋_GB2312" w:hAnsi="仿宋_GB2312" w:eastAsia="仿宋_GB2312" w:cs="仿宋_GB2312"/>
          <w:b w:val="0"/>
          <w:bCs w:val="0"/>
          <w:i w:val="0"/>
          <w:iCs w:val="0"/>
          <w:color w:val="000000"/>
          <w:kern w:val="0"/>
          <w:sz w:val="32"/>
          <w:szCs w:val="32"/>
        </w:rPr>
        <w:t>做好“中医药文化服务月”“中医药宣传月”“中医药就在你身边”“中医药文化宣传节气周”等中医药文化宣传活动</w:t>
      </w:r>
      <w:r>
        <w:rPr>
          <w:rFonts w:hint="eastAsia" w:ascii="仿宋_GB2312" w:hAnsi="仿宋_GB2312" w:eastAsia="仿宋_GB2312" w:cs="仿宋_GB2312"/>
          <w:b w:val="0"/>
          <w:bCs w:val="0"/>
          <w:i w:val="0"/>
          <w:iCs w:val="0"/>
          <w:color w:val="000000"/>
          <w:kern w:val="0"/>
          <w:sz w:val="32"/>
          <w:szCs w:val="32"/>
          <w:lang w:eastAsia="zh-CN"/>
        </w:rPr>
        <w:t>，</w:t>
      </w:r>
      <w:r>
        <w:rPr>
          <w:rFonts w:hint="eastAsia" w:ascii="仿宋_GB2312" w:hAnsi="仿宋_GB2312" w:eastAsia="仿宋_GB2312" w:cs="仿宋_GB2312"/>
          <w:b w:val="0"/>
          <w:bCs w:val="0"/>
          <w:i w:val="0"/>
          <w:iCs w:val="0"/>
          <w:color w:val="000000"/>
          <w:kern w:val="0"/>
          <w:sz w:val="32"/>
          <w:szCs w:val="32"/>
        </w:rPr>
        <w:t>持续加强中医药文化建设</w:t>
      </w:r>
      <w:r>
        <w:rPr>
          <w:rFonts w:hint="eastAsia" w:ascii="仿宋_GB2312" w:hAnsi="仿宋_GB2312" w:eastAsia="仿宋_GB2312" w:cs="仿宋_GB2312"/>
          <w:b w:val="0"/>
          <w:bCs w:val="0"/>
          <w:i w:val="0"/>
          <w:iCs w:val="0"/>
          <w:color w:val="000000"/>
          <w:kern w:val="0"/>
          <w:sz w:val="32"/>
          <w:szCs w:val="32"/>
          <w:lang w:eastAsia="zh-CN"/>
        </w:rPr>
        <w:t>；</w:t>
      </w:r>
      <w:r>
        <w:rPr>
          <w:rFonts w:hint="eastAsia" w:ascii="仿宋_GB2312" w:hAnsi="仿宋_GB2312" w:eastAsia="仿宋_GB2312" w:cs="仿宋_GB2312"/>
          <w:b w:val="0"/>
          <w:bCs w:val="0"/>
          <w:i w:val="0"/>
          <w:iCs w:val="0"/>
          <w:color w:val="000000"/>
          <w:kern w:val="0"/>
          <w:sz w:val="32"/>
          <w:szCs w:val="32"/>
        </w:rPr>
        <w:t>深入开展“岐黄校园行”活动，推动中医药文化进校园</w:t>
      </w:r>
      <w:r>
        <w:rPr>
          <w:rFonts w:hint="eastAsia" w:ascii="仿宋_GB2312" w:hAnsi="仿宋_GB2312" w:eastAsia="仿宋_GB2312" w:cs="仿宋_GB2312"/>
          <w:b w:val="0"/>
          <w:bCs w:val="0"/>
          <w:i w:val="0"/>
          <w:iCs w:val="0"/>
          <w:color w:val="000000"/>
          <w:kern w:val="0"/>
          <w:sz w:val="32"/>
          <w:szCs w:val="32"/>
          <w:lang w:eastAsia="zh-CN"/>
        </w:rPr>
        <w:t>，</w:t>
      </w:r>
      <w:r>
        <w:rPr>
          <w:rFonts w:hint="eastAsia" w:ascii="仿宋_GB2312" w:hAnsi="仿宋_GB2312" w:eastAsia="仿宋_GB2312" w:cs="仿宋_GB2312"/>
          <w:b w:val="0"/>
          <w:bCs w:val="0"/>
          <w:i w:val="0"/>
          <w:iCs w:val="0"/>
          <w:color w:val="000000"/>
          <w:kern w:val="0"/>
          <w:sz w:val="32"/>
          <w:szCs w:val="32"/>
          <w:lang w:val="en-US" w:eastAsia="zh-CN"/>
        </w:rPr>
        <w:t>着重</w:t>
      </w:r>
      <w:r>
        <w:rPr>
          <w:rFonts w:hint="eastAsia" w:ascii="仿宋_GB2312" w:hAnsi="仿宋_GB2312" w:eastAsia="仿宋_GB2312" w:cs="仿宋_GB2312"/>
          <w:b w:val="0"/>
          <w:bCs w:val="0"/>
          <w:i w:val="0"/>
          <w:iCs w:val="0"/>
          <w:color w:val="000000"/>
          <w:kern w:val="0"/>
          <w:sz w:val="32"/>
          <w:szCs w:val="32"/>
        </w:rPr>
        <w:t>发挥我市特色中医药文化资源的作用，不断提升大众健康文化素养</w:t>
      </w:r>
      <w:r>
        <w:rPr>
          <w:rFonts w:hint="eastAsia" w:ascii="仿宋_GB2312" w:hAnsi="仿宋_GB2312" w:eastAsia="仿宋_GB2312" w:cs="仿宋_GB2312"/>
          <w:b w:val="0"/>
          <w:bCs w:val="0"/>
          <w:i w:val="0"/>
          <w:iCs w:val="0"/>
          <w:color w:val="000000"/>
          <w:kern w:val="0"/>
          <w:sz w:val="32"/>
          <w:szCs w:val="32"/>
          <w:lang w:val="en-US" w:eastAsia="zh-CN"/>
        </w:rPr>
        <w:t>和中医药知晓率</w:t>
      </w:r>
      <w:r>
        <w:rPr>
          <w:rFonts w:hint="eastAsia" w:ascii="仿宋_GB2312" w:hAnsi="仿宋_GB2312" w:eastAsia="仿宋_GB2312" w:cs="仿宋_GB2312"/>
          <w:b w:val="0"/>
          <w:bCs w:val="0"/>
          <w:i w:val="0"/>
          <w:iCs w:val="0"/>
          <w:color w:val="000000"/>
          <w:kern w:val="0"/>
          <w:sz w:val="32"/>
          <w:szCs w:val="32"/>
        </w:rPr>
        <w:t>。</w:t>
      </w:r>
    </w:p>
    <w:p w14:paraId="71514D40">
      <w:pPr>
        <w:pageBreakBefore w:val="0"/>
        <w:widowControl/>
        <w:kinsoku/>
        <w:wordWrap/>
        <w:overflowPunct/>
        <w:topLinePunct w:val="0"/>
        <w:autoSpaceDE/>
        <w:autoSpaceDN/>
        <w:bidi w:val="0"/>
        <w:adjustRightInd/>
        <w:spacing w:line="540" w:lineRule="exact"/>
        <w:ind w:firstLine="640" w:firstLineChars="20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四、</w:t>
      </w:r>
      <w:r>
        <w:rPr>
          <w:rFonts w:hint="eastAsia" w:ascii="黑体" w:hAnsi="黑体" w:eastAsia="黑体" w:cs="黑体"/>
          <w:color w:val="000000"/>
          <w:kern w:val="0"/>
          <w:sz w:val="32"/>
          <w:szCs w:val="32"/>
        </w:rPr>
        <w:t>存在问题及原因分析</w:t>
      </w:r>
    </w:p>
    <w:p w14:paraId="609179EE">
      <w:pPr>
        <w:pStyle w:val="4"/>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b w:val="0"/>
          <w:bCs w:val="0"/>
          <w:i w:val="0"/>
          <w:iCs w:val="0"/>
          <w:color w:val="000000"/>
          <w:kern w:val="0"/>
          <w:sz w:val="32"/>
          <w:szCs w:val="32"/>
          <w:lang w:val="en-US" w:eastAsia="zh-CN" w:bidi="ar-SA"/>
        </w:rPr>
      </w:pPr>
      <w:r>
        <w:rPr>
          <w:rFonts w:hint="eastAsia" w:ascii="仿宋_GB2312" w:hAnsi="仿宋_GB2312" w:eastAsia="仿宋_GB2312" w:cs="仿宋_GB2312"/>
          <w:b w:val="0"/>
          <w:bCs w:val="0"/>
          <w:i w:val="0"/>
          <w:iCs w:val="0"/>
          <w:color w:val="000000"/>
          <w:kern w:val="0"/>
          <w:sz w:val="32"/>
          <w:szCs w:val="32"/>
          <w:lang w:val="en-US" w:eastAsia="zh-CN" w:bidi="ar-SA"/>
        </w:rPr>
        <w:t>1.卫生科技发展专项整体支出进度低于50%，主要集中在市属医疗机构的支付进度偏慢，一是因为课题等项目的周期较长，资金需根据课题进度来支付；二是部分采购事项需根据合同要求分批结算费用；三是项目未按计划完成阶段任务。</w:t>
      </w:r>
    </w:p>
    <w:p w14:paraId="46E6E66F">
      <w:pPr>
        <w:keepNext w:val="0"/>
        <w:keepLines w:val="0"/>
        <w:pageBreakBefore w:val="0"/>
        <w:widowControl w:val="0"/>
        <w:numPr>
          <w:ilvl w:val="0"/>
          <w:numId w:val="0"/>
        </w:numPr>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i w:val="0"/>
          <w:iCs w:val="0"/>
          <w:color w:val="000000"/>
          <w:kern w:val="0"/>
          <w:sz w:val="32"/>
          <w:szCs w:val="32"/>
          <w:lang w:val="en-US" w:eastAsia="zh-CN" w:bidi="ar-SA"/>
        </w:rPr>
      </w:pPr>
      <w:r>
        <w:rPr>
          <w:rFonts w:hint="eastAsia" w:ascii="仿宋_GB2312" w:hAnsi="仿宋_GB2312" w:eastAsia="仿宋_GB2312" w:cs="仿宋_GB2312"/>
          <w:b w:val="0"/>
          <w:bCs w:val="0"/>
          <w:i w:val="0"/>
          <w:iCs w:val="0"/>
          <w:color w:val="000000"/>
          <w:kern w:val="0"/>
          <w:sz w:val="32"/>
          <w:szCs w:val="32"/>
          <w:lang w:val="en-US" w:eastAsia="zh-CN" w:bidi="ar-SA"/>
        </w:rPr>
        <w:t>2.部分医院在项目实施过程中存在没有进行专项记账核算的情况。</w:t>
      </w:r>
    </w:p>
    <w:p w14:paraId="7F1B98BD">
      <w:pPr>
        <w:keepNext w:val="0"/>
        <w:keepLines w:val="0"/>
        <w:pageBreakBefore w:val="0"/>
        <w:widowControl w:val="0"/>
        <w:numPr>
          <w:ilvl w:val="0"/>
          <w:numId w:val="0"/>
        </w:numPr>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i w:val="0"/>
          <w:iCs w:val="0"/>
          <w:color w:val="000000"/>
          <w:kern w:val="0"/>
          <w:sz w:val="32"/>
          <w:szCs w:val="32"/>
          <w:lang w:val="en-US" w:eastAsia="zh-CN" w:bidi="ar-SA"/>
        </w:rPr>
      </w:pPr>
      <w:r>
        <w:rPr>
          <w:rFonts w:hint="eastAsia" w:ascii="仿宋_GB2312" w:hAnsi="仿宋_GB2312" w:eastAsia="仿宋_GB2312" w:cs="仿宋_GB2312"/>
          <w:b w:val="0"/>
          <w:bCs w:val="0"/>
          <w:i w:val="0"/>
          <w:iCs w:val="0"/>
          <w:color w:val="000000"/>
          <w:kern w:val="0"/>
          <w:sz w:val="32"/>
          <w:szCs w:val="32"/>
          <w:lang w:val="en-US" w:eastAsia="zh-CN" w:bidi="ar-SA"/>
        </w:rPr>
        <w:t>3.指标体系中产出指标“科研项目经费”未实现增长。2023年全系统共获得科研项目经费4.467亿元，比上年度减少0.908亿元。主要原因是：一是2022年本系统突破性获批1项国家科技创新2030重大项目（研究经费5955.1万元）、1项国家重点研发计划项目（研究经费2000万元），使得年度科研项目经费大幅上涨（比2021年度增涨43.5%）；而国家级重大重点科技项目立项存在一定的不确定性，无法保证每年持续获批；二是由于国家机构改革，2023年起科技部部分职能移交国家卫健委，相关科技计划有所调整，2023年本系统获得的国家级科研项目经费比2022年减少0.9亿元。</w:t>
      </w:r>
    </w:p>
    <w:p w14:paraId="38957C87">
      <w:pPr>
        <w:pageBreakBefore w:val="0"/>
        <w:widowControl/>
        <w:kinsoku/>
        <w:wordWrap/>
        <w:overflowPunct/>
        <w:topLinePunct w:val="0"/>
        <w:autoSpaceDE/>
        <w:autoSpaceDN/>
        <w:bidi w:val="0"/>
        <w:adjustRightInd/>
        <w:spacing w:line="540" w:lineRule="exact"/>
        <w:ind w:firstLine="640" w:firstLineChars="20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五、有关建议</w:t>
      </w:r>
    </w:p>
    <w:p w14:paraId="267B9CF0">
      <w:pPr>
        <w:pStyle w:val="4"/>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sz w:val="32"/>
          <w:szCs w:val="32"/>
          <w:lang w:eastAsia="zh-CN"/>
        </w:rPr>
      </w:pPr>
      <w:bookmarkStart w:id="0" w:name="_Toc106355636"/>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市卫健委增强监督管理力度，密切关注项目实施进度和资金支出情况，各项目实施单位的财务和科教部门给予项目负责人及时指导督促，形成常态化督导管理工作，提高资金的执行进度。</w:t>
      </w:r>
      <w:bookmarkEnd w:id="0"/>
    </w:p>
    <w:p w14:paraId="3E69A565">
      <w:pPr>
        <w:keepNext w:val="0"/>
        <w:keepLines w:val="0"/>
        <w:pageBreakBefore w:val="0"/>
        <w:widowControl w:val="0"/>
        <w:kinsoku/>
        <w:wordWrap/>
        <w:overflowPunct/>
        <w:topLinePunct w:val="0"/>
        <w:autoSpaceDE/>
        <w:autoSpaceDN/>
        <w:bidi w:val="0"/>
        <w:adjustRightInd/>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eastAsia="zh-CN"/>
        </w:rPr>
        <w:t>（二）项目实施单位</w:t>
      </w:r>
      <w:r>
        <w:rPr>
          <w:rFonts w:hint="eastAsia" w:ascii="仿宋_GB2312" w:hAnsi="仿宋_GB2312" w:eastAsia="仿宋_GB2312" w:cs="仿宋_GB2312"/>
          <w:bCs/>
          <w:sz w:val="32"/>
          <w:szCs w:val="32"/>
        </w:rPr>
        <w:t>要进一步规范使用，</w:t>
      </w:r>
      <w:r>
        <w:rPr>
          <w:rFonts w:hint="eastAsia" w:ascii="仿宋_GB2312" w:hAnsi="仿宋_GB2312" w:eastAsia="仿宋_GB2312" w:cs="仿宋_GB2312"/>
          <w:bCs/>
          <w:sz w:val="32"/>
          <w:szCs w:val="32"/>
          <w:lang w:eastAsia="zh-CN"/>
        </w:rPr>
        <w:t>做到</w:t>
      </w:r>
      <w:r>
        <w:rPr>
          <w:rFonts w:hint="eastAsia" w:ascii="仿宋_GB2312" w:hAnsi="仿宋_GB2312" w:eastAsia="仿宋_GB2312" w:cs="仿宋_GB2312"/>
          <w:bCs/>
          <w:sz w:val="32"/>
          <w:szCs w:val="32"/>
        </w:rPr>
        <w:t>专款专用</w:t>
      </w:r>
      <w:r>
        <w:rPr>
          <w:rFonts w:hint="eastAsia" w:ascii="仿宋_GB2312" w:hAnsi="仿宋_GB2312" w:eastAsia="仿宋_GB2312" w:cs="仿宋_GB2312"/>
          <w:bCs/>
          <w:sz w:val="32"/>
          <w:szCs w:val="32"/>
          <w:lang w:eastAsia="zh-CN"/>
        </w:rPr>
        <w:t>并进行专项核算</w:t>
      </w:r>
      <w:r>
        <w:rPr>
          <w:rFonts w:hint="eastAsia" w:ascii="仿宋_GB2312" w:hAnsi="仿宋_GB2312" w:eastAsia="仿宋_GB2312" w:cs="仿宋_GB2312"/>
          <w:bCs/>
          <w:sz w:val="32"/>
          <w:szCs w:val="32"/>
        </w:rPr>
        <w:t>。</w:t>
      </w:r>
    </w:p>
    <w:p w14:paraId="61F222C0">
      <w:pPr>
        <w:keepNext w:val="0"/>
        <w:keepLines w:val="0"/>
        <w:pageBreakBefore w:val="0"/>
        <w:widowControl w:val="0"/>
        <w:kinsoku/>
        <w:wordWrap/>
        <w:overflowPunct/>
        <w:topLinePunct w:val="0"/>
        <w:autoSpaceDE/>
        <w:autoSpaceDN/>
        <w:bidi w:val="0"/>
        <w:adjustRightInd/>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强科研项目支持及管理。一是卫健委及各项目实施单位积极组织开展各级各类科研项目申报工作；二是医疗机构加强与企业合作，增加横向课题和临床试验项目经费；三是卫健委加强市医学重点实验室、多中心生物样本库等基础平台建设，提供高质量科研平台；四是卫健委责任处室优化调整绩效考核指标，“科研项目经费”指标每年持续增长不符合实际规律，难以实现，考虑删除或调整。</w:t>
      </w:r>
    </w:p>
    <w:p w14:paraId="5C5B28F5">
      <w:pPr>
        <w:pageBreakBefore w:val="0"/>
        <w:widowControl/>
        <w:kinsoku/>
        <w:wordWrap/>
        <w:overflowPunct/>
        <w:topLinePunct w:val="0"/>
        <w:autoSpaceDE/>
        <w:autoSpaceDN/>
        <w:bidi w:val="0"/>
        <w:adjustRightInd/>
        <w:spacing w:line="540" w:lineRule="exact"/>
        <w:ind w:firstLine="640" w:firstLineChars="200"/>
        <w:jc w:val="left"/>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六、评价工作开展情况</w:t>
      </w:r>
    </w:p>
    <w:p w14:paraId="4C764F08">
      <w:pPr>
        <w:keepNext w:val="0"/>
        <w:keepLines w:val="0"/>
        <w:pageBreakBefore w:val="0"/>
        <w:kinsoku/>
        <w:wordWrap/>
        <w:overflowPunct/>
        <w:topLinePunct w:val="0"/>
        <w:autoSpaceDE w:val="0"/>
        <w:autoSpaceDN/>
        <w:bidi w:val="0"/>
        <w:adjustRightInd/>
        <w:snapToGrid/>
        <w:spacing w:line="30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（一）评价基本情况</w:t>
      </w:r>
    </w:p>
    <w:p w14:paraId="13DB233D">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绩效自评价目的是通过开展专项资金绩效自评价，进一步规范专项资金管理，强化绩效和责任意识，切实提高资金使用效益；评价遵循科学规范、客观公正和实事求是三项原则，主要采用综合评价法进行评价。</w:t>
      </w:r>
    </w:p>
    <w:p w14:paraId="33501D8D">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绩效评价指标体系由决策、过程、产出和效益四部分组成。此四部分指标进一步细分为一级指标4个，二级指标</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个和三级指标</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个。</w:t>
      </w:r>
    </w:p>
    <w:p w14:paraId="10D0E87E">
      <w:pPr>
        <w:keepNext w:val="0"/>
        <w:keepLines w:val="0"/>
        <w:pageBreakBefore w:val="0"/>
        <w:kinsoku/>
        <w:wordWrap/>
        <w:overflowPunct/>
        <w:topLinePunct w:val="0"/>
        <w:autoSpaceDE w:val="0"/>
        <w:autoSpaceDN/>
        <w:bidi w:val="0"/>
        <w:adjustRightInd/>
        <w:snapToGrid/>
        <w:spacing w:line="300" w:lineRule="auto"/>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（二）评价实施情况</w:t>
      </w:r>
    </w:p>
    <w:p w14:paraId="00F46730">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本次自评价包括调研沟通、收集</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资料、确定指标体系、明确绩效评价方法、形成评价方案、现场考评、对照体系打分、撰写评价报告等八个步骤。</w:t>
      </w:r>
    </w:p>
    <w:p w14:paraId="4D023D82">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指标体系优先选取最具代表性、最能直接反映产出、效益的核心指标，精简实用。指标的权重根据各项指标在评价体系中的重要程度确定，突出结果导向，产出、效益类指标合计达到</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w:t>
      </w:r>
    </w:p>
    <w:p w14:paraId="182A3471">
      <w:pPr>
        <w:widowControl/>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通过对照指标体系组织考评，逐条分析打分并形成初步结论。绩效评价结果实施百分制和四级分类：90（含）-100分为优、80（含）-90分为良、60（含）-80分为中、60分以下为差。</w:t>
      </w:r>
    </w:p>
    <w:p w14:paraId="2BB53859">
      <w:pPr>
        <w:pStyle w:val="4"/>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Chars="200" w:firstLine="640" w:firstLineChars="200"/>
        <w:textAlignment w:val="auto"/>
        <w:rPr>
          <w:rFonts w:hint="eastAsia" w:ascii="仿宋_GB2312" w:hAnsi="仿宋_GB2312" w:eastAsia="仿宋_GB2312" w:cs="仿宋_GB2312"/>
          <w:b w:val="0"/>
          <w:bCs w:val="0"/>
          <w:i w:val="0"/>
          <w:iCs w:val="0"/>
          <w:color w:val="000000"/>
          <w:kern w:val="0"/>
          <w:sz w:val="32"/>
          <w:szCs w:val="32"/>
          <w:lang w:val="en-US" w:eastAsia="zh-CN" w:bidi="ar-SA"/>
        </w:rPr>
      </w:pPr>
    </w:p>
    <w:p w14:paraId="00EE4F9C">
      <w:pPr>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附件：1.指标体系得分情况</w:t>
      </w:r>
    </w:p>
    <w:p w14:paraId="01510AD9">
      <w:pPr>
        <w:pageBreakBefore w:val="0"/>
        <w:widowControl/>
        <w:kinsoku/>
        <w:wordWrap/>
        <w:overflowPunct/>
        <w:topLinePunct w:val="0"/>
        <w:autoSpaceDE/>
        <w:autoSpaceDN/>
        <w:bidi w:val="0"/>
        <w:adjustRightInd/>
        <w:spacing w:line="540" w:lineRule="exact"/>
        <w:jc w:val="left"/>
        <w:textAlignment w:val="auto"/>
        <w:rPr>
          <w:rFonts w:hint="eastAsia" w:ascii="仿宋_GB2312" w:hAnsi="仿宋_GB2312" w:eastAsia="仿宋_GB2312" w:cs="仿宋_GB2312"/>
          <w:color w:val="000000"/>
          <w:kern w:val="0"/>
          <w:sz w:val="32"/>
          <w:szCs w:val="32"/>
        </w:rPr>
        <w:sectPr>
          <w:pgSz w:w="11906" w:h="16838"/>
          <w:pgMar w:top="1440" w:right="1800" w:bottom="1440" w:left="1800" w:header="851" w:footer="992" w:gutter="0"/>
          <w:cols w:space="425" w:num="1"/>
          <w:docGrid w:type="lines" w:linePitch="312" w:charSpace="0"/>
        </w:sectPr>
      </w:pPr>
    </w:p>
    <w:p w14:paraId="0068EDCA">
      <w:pPr>
        <w:pStyle w:val="3"/>
        <w:rPr>
          <w:rFonts w:hint="eastAsia"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eastAsia="zh-CN"/>
        </w:rPr>
        <w:t>附件：</w:t>
      </w:r>
    </w:p>
    <w:p w14:paraId="42D20A16">
      <w:pPr>
        <w:pStyle w:val="3"/>
        <w:jc w:val="center"/>
        <w:rPr>
          <w:rFonts w:hint="eastAsia" w:ascii="方正小标宋_GBK" w:hAnsi="方正小标宋_GBK" w:eastAsia="方正小标宋_GBK" w:cs="方正小标宋_GBK"/>
          <w:color w:val="000000"/>
          <w:kern w:val="0"/>
          <w:sz w:val="32"/>
          <w:szCs w:val="32"/>
        </w:rPr>
      </w:pPr>
      <w:r>
        <w:rPr>
          <w:rFonts w:hint="eastAsia" w:ascii="方正小标宋_GBK" w:hAnsi="方正小标宋_GBK" w:eastAsia="方正小标宋_GBK" w:cs="方正小标宋_GBK"/>
          <w:color w:val="000000"/>
          <w:kern w:val="0"/>
          <w:sz w:val="32"/>
          <w:szCs w:val="32"/>
        </w:rPr>
        <w:t>指标体系得分情况</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3"/>
        <w:gridCol w:w="2265"/>
        <w:gridCol w:w="1800"/>
        <w:gridCol w:w="2287"/>
        <w:gridCol w:w="842"/>
        <w:gridCol w:w="1037"/>
        <w:gridCol w:w="734"/>
        <w:gridCol w:w="739"/>
        <w:gridCol w:w="8593"/>
        <w:gridCol w:w="2113"/>
      </w:tblGrid>
      <w:tr w14:paraId="587F7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4EDA9">
            <w:pPr>
              <w:keepNext w:val="0"/>
              <w:keepLines w:val="0"/>
              <w:widowControl/>
              <w:suppressLineNumbers w:val="0"/>
              <w:jc w:val="center"/>
              <w:textAlignment w:val="center"/>
              <w:rPr>
                <w:rFonts w:ascii="Segoe UI" w:hAnsi="Segoe UI" w:eastAsia="Segoe UI" w:cs="Segoe UI"/>
                <w:b/>
                <w:bCs/>
                <w:i w:val="0"/>
                <w:iCs w:val="0"/>
                <w:color w:val="000000"/>
                <w:sz w:val="22"/>
                <w:szCs w:val="22"/>
                <w:u w:val="none"/>
              </w:rPr>
            </w:pPr>
            <w:r>
              <w:rPr>
                <w:rFonts w:hint="default" w:ascii="Segoe UI" w:hAnsi="Segoe UI" w:eastAsia="Segoe UI" w:cs="Segoe UI"/>
                <w:b/>
                <w:bCs/>
                <w:i w:val="0"/>
                <w:iCs w:val="0"/>
                <w:color w:val="000000"/>
                <w:kern w:val="0"/>
                <w:sz w:val="22"/>
                <w:szCs w:val="22"/>
                <w:u w:val="none"/>
                <w:lang w:val="en-US" w:eastAsia="zh-CN" w:bidi="ar"/>
              </w:rPr>
              <w:t>序号</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02140">
            <w:pPr>
              <w:keepNext w:val="0"/>
              <w:keepLines w:val="0"/>
              <w:widowControl/>
              <w:suppressLineNumbers w:val="0"/>
              <w:jc w:val="left"/>
              <w:textAlignment w:val="center"/>
              <w:rPr>
                <w:rFonts w:hint="default" w:ascii="Segoe UI" w:hAnsi="Segoe UI" w:eastAsia="Segoe UI" w:cs="Segoe UI"/>
                <w:b/>
                <w:bCs/>
                <w:i w:val="0"/>
                <w:iCs w:val="0"/>
                <w:color w:val="000000"/>
                <w:sz w:val="22"/>
                <w:szCs w:val="22"/>
                <w:u w:val="none"/>
              </w:rPr>
            </w:pPr>
            <w:r>
              <w:rPr>
                <w:rFonts w:hint="default" w:ascii="Segoe UI" w:hAnsi="Segoe UI" w:eastAsia="Segoe UI" w:cs="Segoe UI"/>
                <w:b/>
                <w:bCs/>
                <w:i w:val="0"/>
                <w:iCs w:val="0"/>
                <w:color w:val="000000"/>
                <w:kern w:val="0"/>
                <w:sz w:val="22"/>
                <w:szCs w:val="22"/>
                <w:u w:val="none"/>
                <w:lang w:val="en-US" w:eastAsia="zh-CN" w:bidi="ar"/>
              </w:rPr>
              <w:t>一级指标</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6A161">
            <w:pPr>
              <w:keepNext w:val="0"/>
              <w:keepLines w:val="0"/>
              <w:widowControl/>
              <w:suppressLineNumbers w:val="0"/>
              <w:jc w:val="left"/>
              <w:textAlignment w:val="center"/>
              <w:rPr>
                <w:rFonts w:hint="default" w:ascii="Segoe UI" w:hAnsi="Segoe UI" w:eastAsia="Segoe UI" w:cs="Segoe UI"/>
                <w:b/>
                <w:bCs/>
                <w:i w:val="0"/>
                <w:iCs w:val="0"/>
                <w:color w:val="000000"/>
                <w:sz w:val="22"/>
                <w:szCs w:val="22"/>
                <w:u w:val="none"/>
              </w:rPr>
            </w:pPr>
            <w:r>
              <w:rPr>
                <w:rFonts w:hint="default" w:ascii="Segoe UI" w:hAnsi="Segoe UI" w:eastAsia="Segoe UI" w:cs="Segoe UI"/>
                <w:b/>
                <w:bCs/>
                <w:i w:val="0"/>
                <w:iCs w:val="0"/>
                <w:color w:val="000000"/>
                <w:kern w:val="0"/>
                <w:sz w:val="22"/>
                <w:szCs w:val="22"/>
                <w:u w:val="none"/>
                <w:lang w:val="en-US" w:eastAsia="zh-CN" w:bidi="ar"/>
              </w:rPr>
              <w:t>二级指标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176A6">
            <w:pPr>
              <w:keepNext w:val="0"/>
              <w:keepLines w:val="0"/>
              <w:widowControl/>
              <w:suppressLineNumbers w:val="0"/>
              <w:jc w:val="left"/>
              <w:textAlignment w:val="center"/>
              <w:rPr>
                <w:rFonts w:hint="default" w:ascii="Segoe UI" w:hAnsi="Segoe UI" w:eastAsia="Segoe UI" w:cs="Segoe UI"/>
                <w:b/>
                <w:bCs/>
                <w:i w:val="0"/>
                <w:iCs w:val="0"/>
                <w:color w:val="000000"/>
                <w:sz w:val="22"/>
                <w:szCs w:val="22"/>
                <w:u w:val="none"/>
              </w:rPr>
            </w:pPr>
            <w:r>
              <w:rPr>
                <w:rFonts w:hint="default" w:ascii="Segoe UI" w:hAnsi="Segoe UI" w:eastAsia="Segoe UI" w:cs="Segoe UI"/>
                <w:b/>
                <w:bCs/>
                <w:i w:val="0"/>
                <w:iCs w:val="0"/>
                <w:color w:val="000000"/>
                <w:kern w:val="0"/>
                <w:sz w:val="22"/>
                <w:szCs w:val="22"/>
                <w:u w:val="none"/>
                <w:lang w:val="en-US" w:eastAsia="zh-CN" w:bidi="ar"/>
              </w:rPr>
              <w:t>三级指标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D47A5">
            <w:pPr>
              <w:keepNext w:val="0"/>
              <w:keepLines w:val="0"/>
              <w:widowControl/>
              <w:suppressLineNumbers w:val="0"/>
              <w:jc w:val="left"/>
              <w:textAlignment w:val="center"/>
              <w:rPr>
                <w:rFonts w:hint="default" w:ascii="Segoe UI" w:hAnsi="Segoe UI" w:eastAsia="Segoe UI" w:cs="Segoe UI"/>
                <w:b/>
                <w:bCs/>
                <w:i w:val="0"/>
                <w:iCs w:val="0"/>
                <w:color w:val="000000"/>
                <w:sz w:val="22"/>
                <w:szCs w:val="22"/>
                <w:u w:val="none"/>
              </w:rPr>
            </w:pPr>
            <w:r>
              <w:rPr>
                <w:rFonts w:hint="default" w:ascii="Segoe UI" w:hAnsi="Segoe UI" w:eastAsia="Segoe UI" w:cs="Segoe UI"/>
                <w:b/>
                <w:bCs/>
                <w:i w:val="0"/>
                <w:iCs w:val="0"/>
                <w:color w:val="000000"/>
                <w:kern w:val="0"/>
                <w:sz w:val="22"/>
                <w:szCs w:val="22"/>
                <w:u w:val="none"/>
                <w:lang w:val="en-US" w:eastAsia="zh-CN" w:bidi="ar"/>
              </w:rPr>
              <w:t>年初计划值</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D1AC3">
            <w:pPr>
              <w:keepNext w:val="0"/>
              <w:keepLines w:val="0"/>
              <w:widowControl/>
              <w:suppressLineNumbers w:val="0"/>
              <w:jc w:val="left"/>
              <w:textAlignment w:val="center"/>
              <w:rPr>
                <w:rFonts w:hint="default" w:ascii="Segoe UI" w:hAnsi="Segoe UI" w:eastAsia="Segoe UI" w:cs="Segoe UI"/>
                <w:b/>
                <w:bCs/>
                <w:i w:val="0"/>
                <w:iCs w:val="0"/>
                <w:color w:val="000000"/>
                <w:sz w:val="22"/>
                <w:szCs w:val="22"/>
                <w:u w:val="none"/>
              </w:rPr>
            </w:pPr>
            <w:r>
              <w:rPr>
                <w:rFonts w:hint="default" w:ascii="Segoe UI" w:hAnsi="Segoe UI" w:eastAsia="Segoe UI" w:cs="Segoe UI"/>
                <w:b/>
                <w:bCs/>
                <w:i w:val="0"/>
                <w:iCs w:val="0"/>
                <w:color w:val="000000"/>
                <w:kern w:val="0"/>
                <w:sz w:val="22"/>
                <w:szCs w:val="22"/>
                <w:u w:val="none"/>
                <w:lang w:val="en-US" w:eastAsia="zh-CN" w:bidi="ar"/>
              </w:rPr>
              <w:t>实际完成值</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7FC3D">
            <w:pPr>
              <w:keepNext w:val="0"/>
              <w:keepLines w:val="0"/>
              <w:widowControl/>
              <w:suppressLineNumbers w:val="0"/>
              <w:jc w:val="left"/>
              <w:textAlignment w:val="center"/>
              <w:rPr>
                <w:rFonts w:hint="default" w:ascii="Segoe UI" w:hAnsi="Segoe UI" w:eastAsia="Segoe UI" w:cs="Segoe UI"/>
                <w:b/>
                <w:bCs/>
                <w:i w:val="0"/>
                <w:iCs w:val="0"/>
                <w:color w:val="000000"/>
                <w:sz w:val="22"/>
                <w:szCs w:val="22"/>
                <w:u w:val="none"/>
              </w:rPr>
            </w:pPr>
            <w:r>
              <w:rPr>
                <w:rFonts w:hint="default" w:ascii="Segoe UI" w:hAnsi="Segoe UI" w:eastAsia="Segoe UI" w:cs="Segoe UI"/>
                <w:b/>
                <w:bCs/>
                <w:i w:val="0"/>
                <w:iCs w:val="0"/>
                <w:color w:val="000000"/>
                <w:kern w:val="0"/>
                <w:sz w:val="22"/>
                <w:szCs w:val="22"/>
                <w:u w:val="none"/>
                <w:lang w:val="en-US" w:eastAsia="zh-CN" w:bidi="ar"/>
              </w:rPr>
              <w:t>分值</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CF8D5">
            <w:pPr>
              <w:keepNext w:val="0"/>
              <w:keepLines w:val="0"/>
              <w:widowControl/>
              <w:suppressLineNumbers w:val="0"/>
              <w:jc w:val="left"/>
              <w:textAlignment w:val="center"/>
              <w:rPr>
                <w:rFonts w:hint="default" w:ascii="Segoe UI" w:hAnsi="Segoe UI" w:eastAsia="Segoe UI" w:cs="Segoe UI"/>
                <w:b/>
                <w:bCs/>
                <w:i w:val="0"/>
                <w:iCs w:val="0"/>
                <w:color w:val="000000"/>
                <w:sz w:val="22"/>
                <w:szCs w:val="22"/>
                <w:u w:val="none"/>
              </w:rPr>
            </w:pPr>
            <w:r>
              <w:rPr>
                <w:rFonts w:hint="default" w:ascii="Segoe UI" w:hAnsi="Segoe UI" w:eastAsia="Segoe UI" w:cs="Segoe UI"/>
                <w:b/>
                <w:bCs/>
                <w:i w:val="0"/>
                <w:iCs w:val="0"/>
                <w:color w:val="000000"/>
                <w:kern w:val="0"/>
                <w:sz w:val="22"/>
                <w:szCs w:val="22"/>
                <w:u w:val="none"/>
                <w:lang w:val="en-US" w:eastAsia="zh-CN" w:bidi="ar"/>
              </w:rPr>
              <w:t>得分</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A3454">
            <w:pPr>
              <w:keepNext w:val="0"/>
              <w:keepLines w:val="0"/>
              <w:widowControl/>
              <w:suppressLineNumbers w:val="0"/>
              <w:jc w:val="left"/>
              <w:textAlignment w:val="center"/>
              <w:rPr>
                <w:rFonts w:hint="default" w:ascii="Segoe UI" w:hAnsi="Segoe UI" w:eastAsia="Segoe UI" w:cs="Segoe UI"/>
                <w:b/>
                <w:bCs/>
                <w:i w:val="0"/>
                <w:iCs w:val="0"/>
                <w:color w:val="000000"/>
                <w:sz w:val="22"/>
                <w:szCs w:val="22"/>
                <w:u w:val="none"/>
              </w:rPr>
            </w:pPr>
            <w:r>
              <w:rPr>
                <w:rFonts w:hint="default" w:ascii="Segoe UI" w:hAnsi="Segoe UI" w:eastAsia="Segoe UI" w:cs="Segoe UI"/>
                <w:b/>
                <w:bCs/>
                <w:i w:val="0"/>
                <w:iCs w:val="0"/>
                <w:color w:val="000000"/>
                <w:kern w:val="0"/>
                <w:sz w:val="22"/>
                <w:szCs w:val="22"/>
                <w:u w:val="none"/>
                <w:lang w:val="en-US" w:eastAsia="zh-CN" w:bidi="ar"/>
              </w:rPr>
              <w:t>评价要点及评分规则</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A91F9">
            <w:pPr>
              <w:keepNext w:val="0"/>
              <w:keepLines w:val="0"/>
              <w:widowControl/>
              <w:suppressLineNumbers w:val="0"/>
              <w:jc w:val="left"/>
              <w:textAlignment w:val="center"/>
              <w:rPr>
                <w:rFonts w:hint="default" w:ascii="Segoe UI" w:hAnsi="Segoe UI" w:eastAsia="Segoe UI" w:cs="Segoe UI"/>
                <w:b/>
                <w:bCs/>
                <w:i w:val="0"/>
                <w:iCs w:val="0"/>
                <w:color w:val="000000"/>
                <w:sz w:val="22"/>
                <w:szCs w:val="22"/>
                <w:u w:val="none"/>
              </w:rPr>
            </w:pPr>
            <w:r>
              <w:rPr>
                <w:rFonts w:hint="default" w:ascii="Segoe UI" w:hAnsi="Segoe UI" w:eastAsia="Segoe UI" w:cs="Segoe UI"/>
                <w:b/>
                <w:bCs/>
                <w:i w:val="0"/>
                <w:iCs w:val="0"/>
                <w:color w:val="000000"/>
                <w:kern w:val="0"/>
                <w:sz w:val="22"/>
                <w:szCs w:val="22"/>
                <w:u w:val="none"/>
                <w:lang w:val="en-US" w:eastAsia="zh-CN" w:bidi="ar"/>
              </w:rPr>
              <w:t>未完成指标原因分析</w:t>
            </w:r>
          </w:p>
        </w:tc>
      </w:tr>
      <w:tr w14:paraId="74F0E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D5B49">
            <w:pPr>
              <w:jc w:val="center"/>
              <w:rPr>
                <w:rFonts w:hint="default" w:ascii="Segoe UI" w:hAnsi="Segoe UI" w:eastAsia="Segoe UI" w:cs="Segoe UI"/>
                <w:i w:val="0"/>
                <w:iCs w:val="0"/>
                <w:color w:val="000000"/>
                <w:sz w:val="22"/>
                <w:szCs w:val="22"/>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C9013">
            <w:pPr>
              <w:jc w:val="left"/>
              <w:rPr>
                <w:rFonts w:hint="default" w:ascii="Segoe UI" w:hAnsi="Segoe UI" w:eastAsia="Segoe UI" w:cs="Segoe UI"/>
                <w:i w:val="0"/>
                <w:iCs w:val="0"/>
                <w:color w:val="000000"/>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95714">
            <w:pPr>
              <w:jc w:val="left"/>
              <w:rPr>
                <w:rFonts w:hint="default" w:ascii="Segoe UI" w:hAnsi="Segoe UI" w:eastAsia="Segoe UI" w:cs="Segoe UI"/>
                <w:i w:val="0"/>
                <w:iCs w:val="0"/>
                <w:color w:val="000000"/>
                <w:sz w:val="22"/>
                <w:szCs w:val="22"/>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1397E">
            <w:pPr>
              <w:jc w:val="left"/>
              <w:rPr>
                <w:rFonts w:hint="default" w:ascii="Segoe UI" w:hAnsi="Segoe UI" w:eastAsia="Segoe UI" w:cs="Segoe UI"/>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3AEE5">
            <w:pPr>
              <w:jc w:val="left"/>
              <w:rPr>
                <w:rFonts w:hint="default" w:ascii="Segoe UI" w:hAnsi="Segoe UI" w:eastAsia="Segoe UI" w:cs="Segoe UI"/>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8E14F">
            <w:pPr>
              <w:jc w:val="left"/>
              <w:rPr>
                <w:rFonts w:hint="default" w:ascii="Segoe UI" w:hAnsi="Segoe UI" w:eastAsia="Segoe UI" w:cs="Segoe UI"/>
                <w:i w:val="0"/>
                <w:iCs w:val="0"/>
                <w:color w:val="000000"/>
                <w:sz w:val="22"/>
                <w:szCs w:val="22"/>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D030E">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06BF9">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96.65</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50629">
            <w:pPr>
              <w:jc w:val="left"/>
              <w:rPr>
                <w:rFonts w:hint="default" w:ascii="Segoe UI" w:hAnsi="Segoe UI" w:eastAsia="Segoe UI" w:cs="Segoe UI"/>
                <w:i w:val="0"/>
                <w:iCs w:val="0"/>
                <w:color w:val="000000"/>
                <w:sz w:val="22"/>
                <w:szCs w:val="22"/>
                <w:u w:val="none"/>
              </w:rPr>
            </w:pP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C1AD4">
            <w:pPr>
              <w:jc w:val="left"/>
              <w:rPr>
                <w:rFonts w:hint="default" w:ascii="Segoe UI" w:hAnsi="Segoe UI" w:eastAsia="Segoe UI" w:cs="Segoe UI"/>
                <w:i w:val="0"/>
                <w:iCs w:val="0"/>
                <w:color w:val="000000"/>
                <w:sz w:val="22"/>
                <w:szCs w:val="22"/>
                <w:u w:val="none"/>
              </w:rPr>
            </w:pPr>
          </w:p>
        </w:tc>
      </w:tr>
      <w:tr w14:paraId="4388C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CC6AF">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1</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CA3AA1">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决策(12)</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1E0AFC">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项目立项(4)</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A90CB">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立项依据充分性</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801CB">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充分</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E16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ED95D">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2</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DF023">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2</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DE6E6">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评价要点： ①项目立项是否符合国家法律法规、国民经济发展规划和相关政策； ②项目立项是否符合行业发展规划和政策要求； ③项目立项是否与部门职责范围相符，属于部门履职所需； ④项目是否属于公共财政支持范围，是否符合中央、地方事权支出责任划分原则； ⑤项目是否与相关部门同类项目或部门内部相关项目重复。 评分规则：以上评价要点各占20%权重，每个要点执行情况分达成、部分达成、未达成三档，按100%-80%（含）、80%-60%（含）、60%-0%评分。</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3DF6F">
            <w:pPr>
              <w:jc w:val="left"/>
              <w:rPr>
                <w:rFonts w:hint="default" w:ascii="Segoe UI" w:hAnsi="Segoe UI" w:eastAsia="Segoe UI" w:cs="Segoe UI"/>
                <w:i w:val="0"/>
                <w:iCs w:val="0"/>
                <w:color w:val="000000"/>
                <w:sz w:val="22"/>
                <w:szCs w:val="22"/>
                <w:u w:val="none"/>
              </w:rPr>
            </w:pPr>
          </w:p>
        </w:tc>
      </w:tr>
      <w:tr w14:paraId="77D93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877CA">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2</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EA7F3">
            <w:pPr>
              <w:jc w:val="left"/>
              <w:rPr>
                <w:rFonts w:hint="default" w:ascii="Segoe UI" w:hAnsi="Segoe UI" w:eastAsia="Segoe UI" w:cs="Segoe UI"/>
                <w:i w:val="0"/>
                <w:iCs w:val="0"/>
                <w:color w:val="000000"/>
                <w:sz w:val="22"/>
                <w:szCs w:val="22"/>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8BBEB">
            <w:pPr>
              <w:jc w:val="left"/>
              <w:rPr>
                <w:rFonts w:hint="default" w:ascii="Segoe UI" w:hAnsi="Segoe UI" w:eastAsia="Segoe UI" w:cs="Segoe UI"/>
                <w:i w:val="0"/>
                <w:iCs w:val="0"/>
                <w:color w:val="000000"/>
                <w:sz w:val="22"/>
                <w:szCs w:val="22"/>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10073">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立项程序规范性</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4502E">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规范</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711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84BFA">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2</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B2BAA">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2</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02DFA">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评价要点： ①项目是否按照规定的程序申请设立； ②审批文件、材料是否符合相关要求； ③事前是否已经过必要的可行性研究、专家论证、风险评估、绩效评估、集体决策。 评分规则：以上评价要点各占1/3权重，每个要点执行情况分达成、部分达成、未达成三档，按100%-80%（含）、80%-60%（含）、60%-0%评分。</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CDC22">
            <w:pPr>
              <w:jc w:val="left"/>
              <w:rPr>
                <w:rFonts w:hint="default" w:ascii="Segoe UI" w:hAnsi="Segoe UI" w:eastAsia="Segoe UI" w:cs="Segoe UI"/>
                <w:i w:val="0"/>
                <w:iCs w:val="0"/>
                <w:color w:val="000000"/>
                <w:sz w:val="22"/>
                <w:szCs w:val="22"/>
                <w:u w:val="none"/>
              </w:rPr>
            </w:pPr>
          </w:p>
        </w:tc>
      </w:tr>
      <w:tr w14:paraId="75FF3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F46C3">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556B5">
            <w:pPr>
              <w:jc w:val="left"/>
              <w:rPr>
                <w:rFonts w:hint="default" w:ascii="Segoe UI" w:hAnsi="Segoe UI" w:eastAsia="Segoe UI" w:cs="Segoe UI"/>
                <w:i w:val="0"/>
                <w:iCs w:val="0"/>
                <w:color w:val="000000"/>
                <w:sz w:val="22"/>
                <w:szCs w:val="22"/>
                <w:u w:val="none"/>
              </w:rPr>
            </w:pP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1395D">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绩效目标(4)</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98BA9">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绩效目标合理性</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E149A">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合理</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74D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32BC">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2</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ECB18">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2</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BD078">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评价要点： （如未设定预算绩效目标，也可考核其他工作任务目标） ①项目是否有绩效目标； ②项目绩效目标与实际工作内容是否具有相关性； ③项目预期产出效益和效果是否符合正常的业绩水平； ④是否与预算确定的项目投资额或资金量相匹配。 评分规则：以上评价要点各占25%权重，每个要点执行情况分达成、部分达成、未达成三档，按100%-80%（含）、80%-60%（含）、60%-0%评分。</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40AFE">
            <w:pPr>
              <w:jc w:val="left"/>
              <w:rPr>
                <w:rFonts w:hint="default" w:ascii="Segoe UI" w:hAnsi="Segoe UI" w:eastAsia="Segoe UI" w:cs="Segoe UI"/>
                <w:i w:val="0"/>
                <w:iCs w:val="0"/>
                <w:color w:val="000000"/>
                <w:sz w:val="22"/>
                <w:szCs w:val="22"/>
                <w:u w:val="none"/>
              </w:rPr>
            </w:pPr>
          </w:p>
        </w:tc>
      </w:tr>
      <w:tr w14:paraId="710A9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838FB">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4</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0D294">
            <w:pPr>
              <w:jc w:val="left"/>
              <w:rPr>
                <w:rFonts w:hint="default" w:ascii="Segoe UI" w:hAnsi="Segoe UI" w:eastAsia="Segoe UI" w:cs="Segoe UI"/>
                <w:i w:val="0"/>
                <w:iCs w:val="0"/>
                <w:color w:val="000000"/>
                <w:sz w:val="22"/>
                <w:szCs w:val="22"/>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4AD1B">
            <w:pPr>
              <w:jc w:val="left"/>
              <w:rPr>
                <w:rFonts w:hint="default" w:ascii="Segoe UI" w:hAnsi="Segoe UI" w:eastAsia="Segoe UI" w:cs="Segoe UI"/>
                <w:i w:val="0"/>
                <w:iCs w:val="0"/>
                <w:color w:val="000000"/>
                <w:sz w:val="22"/>
                <w:szCs w:val="22"/>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DF3D1">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绩效指标明确性</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46634">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明确</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B42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632B9">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2</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4E354">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2</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045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评价要点：</w:t>
            </w:r>
            <w:r>
              <w:rPr>
                <w:rStyle w:val="11"/>
                <w:lang w:val="en-US" w:eastAsia="zh-CN" w:bidi="ar"/>
              </w:rPr>
              <w:t xml:space="preserve"> </w:t>
            </w:r>
            <w:r>
              <w:rPr>
                <w:rStyle w:val="10"/>
                <w:lang w:val="en-US" w:eastAsia="zh-CN" w:bidi="ar"/>
              </w:rPr>
              <w:t>①是否将项目绩效目标细化分解为具体的绩效指标；</w:t>
            </w:r>
            <w:r>
              <w:rPr>
                <w:rStyle w:val="11"/>
                <w:lang w:val="en-US" w:eastAsia="zh-CN" w:bidi="ar"/>
              </w:rPr>
              <w:t xml:space="preserve"> </w:t>
            </w:r>
            <w:r>
              <w:rPr>
                <w:rStyle w:val="10"/>
                <w:lang w:val="en-US" w:eastAsia="zh-CN" w:bidi="ar"/>
              </w:rPr>
              <w:t>②是否通过清晰、可衡量的指标值予以体现；</w:t>
            </w:r>
            <w:r>
              <w:rPr>
                <w:rStyle w:val="11"/>
                <w:lang w:val="en-US" w:eastAsia="zh-CN" w:bidi="ar"/>
              </w:rPr>
              <w:t xml:space="preserve"> </w:t>
            </w:r>
            <w:r>
              <w:rPr>
                <w:rStyle w:val="10"/>
                <w:lang w:val="en-US" w:eastAsia="zh-CN" w:bidi="ar"/>
              </w:rPr>
              <w:t>③是否与项目目标任务数或计划数相对应。</w:t>
            </w:r>
            <w:r>
              <w:rPr>
                <w:rStyle w:val="11"/>
                <w:lang w:val="en-US" w:eastAsia="zh-CN" w:bidi="ar"/>
              </w:rPr>
              <w:t xml:space="preserve"> </w:t>
            </w:r>
            <w:r>
              <w:rPr>
                <w:rStyle w:val="10"/>
                <w:lang w:val="en-US" w:eastAsia="zh-CN" w:bidi="ar"/>
              </w:rPr>
              <w:t>评分规则：以上评价要点各占</w:t>
            </w:r>
            <w:r>
              <w:rPr>
                <w:rStyle w:val="11"/>
                <w:lang w:val="en-US" w:eastAsia="zh-CN" w:bidi="ar"/>
              </w:rPr>
              <w:t>1/3</w:t>
            </w:r>
            <w:r>
              <w:rPr>
                <w:rStyle w:val="10"/>
                <w:lang w:val="en-US" w:eastAsia="zh-CN" w:bidi="ar"/>
              </w:rPr>
              <w:t>权重，每个要点执行情况分达成、部分达成、未达成三档，按</w:t>
            </w:r>
            <w:r>
              <w:rPr>
                <w:rStyle w:val="11"/>
                <w:lang w:val="en-US" w:eastAsia="zh-CN" w:bidi="ar"/>
              </w:rPr>
              <w:t>100%-80%</w:t>
            </w:r>
            <w:r>
              <w:rPr>
                <w:rStyle w:val="10"/>
                <w:lang w:val="en-US" w:eastAsia="zh-CN" w:bidi="ar"/>
              </w:rPr>
              <w:t>（含）、</w:t>
            </w:r>
            <w:r>
              <w:rPr>
                <w:rStyle w:val="11"/>
                <w:lang w:val="en-US" w:eastAsia="zh-CN" w:bidi="ar"/>
              </w:rPr>
              <w:t>80%-60%</w:t>
            </w:r>
            <w:r>
              <w:rPr>
                <w:rStyle w:val="10"/>
                <w:lang w:val="en-US" w:eastAsia="zh-CN" w:bidi="ar"/>
              </w:rPr>
              <w:t>（含）、</w:t>
            </w:r>
            <w:r>
              <w:rPr>
                <w:rStyle w:val="11"/>
                <w:lang w:val="en-US" w:eastAsia="zh-CN" w:bidi="ar"/>
              </w:rPr>
              <w:t>60%-0%</w:t>
            </w:r>
            <w:r>
              <w:rPr>
                <w:rStyle w:val="10"/>
                <w:lang w:val="en-US" w:eastAsia="zh-CN" w:bidi="ar"/>
              </w:rPr>
              <w:t>评分。</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12365">
            <w:pPr>
              <w:jc w:val="left"/>
              <w:rPr>
                <w:rFonts w:hint="default" w:ascii="Segoe UI" w:hAnsi="Segoe UI" w:eastAsia="Segoe UI" w:cs="Segoe UI"/>
                <w:i w:val="0"/>
                <w:iCs w:val="0"/>
                <w:color w:val="000000"/>
                <w:sz w:val="22"/>
                <w:szCs w:val="22"/>
                <w:u w:val="none"/>
              </w:rPr>
            </w:pPr>
          </w:p>
        </w:tc>
      </w:tr>
      <w:tr w14:paraId="37ECB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E4EBB">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5</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D13E1">
            <w:pPr>
              <w:jc w:val="left"/>
              <w:rPr>
                <w:rFonts w:hint="default" w:ascii="Segoe UI" w:hAnsi="Segoe UI" w:eastAsia="Segoe UI" w:cs="Segoe UI"/>
                <w:i w:val="0"/>
                <w:iCs w:val="0"/>
                <w:color w:val="000000"/>
                <w:sz w:val="22"/>
                <w:szCs w:val="22"/>
                <w:u w:val="none"/>
              </w:rPr>
            </w:pP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525D0F">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资金投入(4)</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3BD1A">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预算编制科学性</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0FA69">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科学</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433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4B35B">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2</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44739">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2</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F3E83">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评价要点： ①预算编制是否经过科学论证； ②预算内容与项目内容是否匹配； ③预算额度测算依据是否充分，是否按照标准编制； ④预算确定的项目投资额或资金量是否与工作任务相匹配。 评分规则：以上评价要点各占25%权重，每个要点执行情况分达成、部分达成、未达成三档，按100%-80%（含）、80%-60%（含）、60%-0%评分。</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23FDB">
            <w:pPr>
              <w:jc w:val="left"/>
              <w:rPr>
                <w:rFonts w:hint="default" w:ascii="Segoe UI" w:hAnsi="Segoe UI" w:eastAsia="Segoe UI" w:cs="Segoe UI"/>
                <w:i w:val="0"/>
                <w:iCs w:val="0"/>
                <w:color w:val="000000"/>
                <w:sz w:val="22"/>
                <w:szCs w:val="22"/>
                <w:u w:val="none"/>
              </w:rPr>
            </w:pPr>
          </w:p>
        </w:tc>
      </w:tr>
      <w:tr w14:paraId="45550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09B91">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6</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1AB71">
            <w:pPr>
              <w:jc w:val="left"/>
              <w:rPr>
                <w:rFonts w:hint="default" w:ascii="Segoe UI" w:hAnsi="Segoe UI" w:eastAsia="Segoe UI" w:cs="Segoe UI"/>
                <w:i w:val="0"/>
                <w:iCs w:val="0"/>
                <w:color w:val="000000"/>
                <w:sz w:val="22"/>
                <w:szCs w:val="22"/>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FEB28">
            <w:pPr>
              <w:jc w:val="left"/>
              <w:rPr>
                <w:rFonts w:hint="default" w:ascii="Segoe UI" w:hAnsi="Segoe UI" w:eastAsia="Segoe UI" w:cs="Segoe UI"/>
                <w:i w:val="0"/>
                <w:iCs w:val="0"/>
                <w:color w:val="000000"/>
                <w:sz w:val="22"/>
                <w:szCs w:val="22"/>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56A2C">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资金分配合理性</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9F517">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合理</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038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06437">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2</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9CD19">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2</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3D040">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评价要点： ①预算资金分配依据是否充分； ②资金分配额度是否合理，与项目单位或地方实际是否相适应。 评分规则：以上评价要点各占50%权重，每个要点执行情况分达成、部分达成、未达成三档，按100%-80%（含）、80%-60%（含）、60%-0%评分。</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BDD28">
            <w:pPr>
              <w:jc w:val="left"/>
              <w:rPr>
                <w:rFonts w:hint="default" w:ascii="Segoe UI" w:hAnsi="Segoe UI" w:eastAsia="Segoe UI" w:cs="Segoe UI"/>
                <w:i w:val="0"/>
                <w:iCs w:val="0"/>
                <w:color w:val="000000"/>
                <w:sz w:val="22"/>
                <w:szCs w:val="22"/>
                <w:u w:val="none"/>
              </w:rPr>
            </w:pPr>
          </w:p>
        </w:tc>
      </w:tr>
      <w:tr w14:paraId="24378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80614">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7</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67159">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过程(18)</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8DD34C">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资金管理(10)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4BC56">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资金到位率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15465">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9A5DA">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100.00%</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E5458">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65C74">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E54F1">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资金到位率=（实际到位资金/预算资金）×100%。 实际到位资金：一定时期（本年度或项目期）内落实到具体项目的资金。 预算资金：一定时期（本年度或项目期）内预算安排到具体项目的资金。 评分规则：得分=资金到位率×分值。</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100CD">
            <w:pPr>
              <w:jc w:val="left"/>
              <w:rPr>
                <w:rFonts w:hint="default" w:ascii="Segoe UI" w:hAnsi="Segoe UI" w:eastAsia="Segoe UI" w:cs="Segoe UI"/>
                <w:i w:val="0"/>
                <w:iCs w:val="0"/>
                <w:color w:val="000000"/>
                <w:sz w:val="22"/>
                <w:szCs w:val="22"/>
                <w:u w:val="none"/>
              </w:rPr>
            </w:pPr>
          </w:p>
        </w:tc>
      </w:tr>
      <w:tr w14:paraId="5EFBB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956B3">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8</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ADC7A">
            <w:pPr>
              <w:jc w:val="left"/>
              <w:rPr>
                <w:rFonts w:hint="default" w:ascii="Segoe UI" w:hAnsi="Segoe UI" w:eastAsia="Segoe UI" w:cs="Segoe UI"/>
                <w:i w:val="0"/>
                <w:iCs w:val="0"/>
                <w:color w:val="000000"/>
                <w:sz w:val="22"/>
                <w:szCs w:val="22"/>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98FE0">
            <w:pPr>
              <w:jc w:val="left"/>
              <w:rPr>
                <w:rFonts w:hint="default" w:ascii="Segoe UI" w:hAnsi="Segoe UI" w:eastAsia="Segoe UI" w:cs="Segoe UI"/>
                <w:i w:val="0"/>
                <w:iCs w:val="0"/>
                <w:color w:val="000000"/>
                <w:sz w:val="22"/>
                <w:szCs w:val="22"/>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531C1">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预算执行率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DFFED">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100%</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3A3A6">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48.25%</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E85BD">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8B8F5">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1.45</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A2170">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预算执行率=（实际支出资金/实际到位资金）×100%。 实际支出资金：一定时期（本年度或项目期）内项目实际拨付的资金。 评分规则：得分=资金到位率×分值。</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421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一是因为课题等项目的周期较长，资金需根据课题进度来支付；二是部分采购事项需根据合同要求分批结算费用；三是项目未按计划完成阶段任务。</w:t>
            </w:r>
          </w:p>
        </w:tc>
      </w:tr>
      <w:tr w14:paraId="000BA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5C02A">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9</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39268">
            <w:pPr>
              <w:jc w:val="left"/>
              <w:rPr>
                <w:rFonts w:hint="default" w:ascii="Segoe UI" w:hAnsi="Segoe UI" w:eastAsia="Segoe UI" w:cs="Segoe UI"/>
                <w:i w:val="0"/>
                <w:iCs w:val="0"/>
                <w:color w:val="000000"/>
                <w:sz w:val="22"/>
                <w:szCs w:val="22"/>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66619">
            <w:pPr>
              <w:jc w:val="left"/>
              <w:rPr>
                <w:rFonts w:hint="default" w:ascii="Segoe UI" w:hAnsi="Segoe UI" w:eastAsia="Segoe UI" w:cs="Segoe UI"/>
                <w:i w:val="0"/>
                <w:iCs w:val="0"/>
                <w:color w:val="000000"/>
                <w:sz w:val="22"/>
                <w:szCs w:val="22"/>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2A11C">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资金使用合规性</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967A3">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合规</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AD9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部分达成</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5FE3C">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4</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C9B07">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3.2</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8EF2E">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评价要点： ①是否符合国家财经法规和财务管理制度以及有关专项资金管理办法的规定； ②资金的拨付是否有完整的审批程序和手续； ③是否符合项目预算批复或合同规定的用途； ④是否存在截留、挤占、挪用、虚列支出等情况。 评分规则：以上评价要点各占25%权重，每个要点执行情况分达成、部分达成、未达成三档，按100%-80%（含）、80%-60%（含）、60%-0%评分。</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638C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部分医院在项目实施过程中存在没有进行专项记账核算的情况</w:t>
            </w:r>
          </w:p>
        </w:tc>
      </w:tr>
      <w:tr w14:paraId="1800F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310F7">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10</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488F9">
            <w:pPr>
              <w:jc w:val="left"/>
              <w:rPr>
                <w:rFonts w:hint="default" w:ascii="Segoe UI" w:hAnsi="Segoe UI" w:eastAsia="Segoe UI" w:cs="Segoe UI"/>
                <w:i w:val="0"/>
                <w:iCs w:val="0"/>
                <w:color w:val="000000"/>
                <w:sz w:val="22"/>
                <w:szCs w:val="22"/>
                <w:u w:val="none"/>
              </w:rPr>
            </w:pP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C23CDB">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组织实施(8)</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D22EA">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管理制度健全性</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42D30">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健全</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FDF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40B2C">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2</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4BAA3">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2</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797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评价要点：</w:t>
            </w:r>
            <w:r>
              <w:rPr>
                <w:rStyle w:val="11"/>
                <w:lang w:val="en-US" w:eastAsia="zh-CN" w:bidi="ar"/>
              </w:rPr>
              <w:t xml:space="preserve"> </w:t>
            </w:r>
            <w:r>
              <w:rPr>
                <w:rStyle w:val="10"/>
                <w:lang w:val="en-US" w:eastAsia="zh-CN" w:bidi="ar"/>
              </w:rPr>
              <w:t>①是否已制定或具有相应的财务和业务管理等制度；</w:t>
            </w:r>
            <w:r>
              <w:rPr>
                <w:rStyle w:val="11"/>
                <w:lang w:val="en-US" w:eastAsia="zh-CN" w:bidi="ar"/>
              </w:rPr>
              <w:t xml:space="preserve"> </w:t>
            </w:r>
            <w:r>
              <w:rPr>
                <w:rStyle w:val="10"/>
                <w:lang w:val="en-US" w:eastAsia="zh-CN" w:bidi="ar"/>
              </w:rPr>
              <w:t>②财务和业务管理等制度是否合法、合规、完整。</w:t>
            </w:r>
            <w:r>
              <w:rPr>
                <w:rStyle w:val="11"/>
                <w:lang w:val="en-US" w:eastAsia="zh-CN" w:bidi="ar"/>
              </w:rPr>
              <w:t xml:space="preserve"> </w:t>
            </w:r>
            <w:r>
              <w:rPr>
                <w:rStyle w:val="10"/>
                <w:lang w:val="en-US" w:eastAsia="zh-CN" w:bidi="ar"/>
              </w:rPr>
              <w:t>评分规则：以上评价要点各占</w:t>
            </w:r>
            <w:r>
              <w:rPr>
                <w:rStyle w:val="11"/>
                <w:lang w:val="en-US" w:eastAsia="zh-CN" w:bidi="ar"/>
              </w:rPr>
              <w:t>50%</w:t>
            </w:r>
            <w:r>
              <w:rPr>
                <w:rStyle w:val="10"/>
                <w:lang w:val="en-US" w:eastAsia="zh-CN" w:bidi="ar"/>
              </w:rPr>
              <w:t>权重，每个要点执行情况分达成、部分达成、未达成三档，按</w:t>
            </w:r>
            <w:r>
              <w:rPr>
                <w:rStyle w:val="11"/>
                <w:lang w:val="en-US" w:eastAsia="zh-CN" w:bidi="ar"/>
              </w:rPr>
              <w:t>100%-80%</w:t>
            </w:r>
            <w:r>
              <w:rPr>
                <w:rStyle w:val="10"/>
                <w:lang w:val="en-US" w:eastAsia="zh-CN" w:bidi="ar"/>
              </w:rPr>
              <w:t>（含）、</w:t>
            </w:r>
            <w:r>
              <w:rPr>
                <w:rStyle w:val="11"/>
                <w:lang w:val="en-US" w:eastAsia="zh-CN" w:bidi="ar"/>
              </w:rPr>
              <w:t>80%-60%</w:t>
            </w:r>
            <w:r>
              <w:rPr>
                <w:rStyle w:val="10"/>
                <w:lang w:val="en-US" w:eastAsia="zh-CN" w:bidi="ar"/>
              </w:rPr>
              <w:t>（含）、</w:t>
            </w:r>
            <w:r>
              <w:rPr>
                <w:rStyle w:val="11"/>
                <w:lang w:val="en-US" w:eastAsia="zh-CN" w:bidi="ar"/>
              </w:rPr>
              <w:t>60%-0%</w:t>
            </w:r>
            <w:r>
              <w:rPr>
                <w:rStyle w:val="10"/>
                <w:lang w:val="en-US" w:eastAsia="zh-CN" w:bidi="ar"/>
              </w:rPr>
              <w:t>评分。</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833E1">
            <w:pPr>
              <w:jc w:val="left"/>
              <w:rPr>
                <w:rFonts w:hint="default" w:ascii="Segoe UI" w:hAnsi="Segoe UI" w:eastAsia="Segoe UI" w:cs="Segoe UI"/>
                <w:i w:val="0"/>
                <w:iCs w:val="0"/>
                <w:color w:val="000000"/>
                <w:sz w:val="22"/>
                <w:szCs w:val="22"/>
                <w:u w:val="none"/>
              </w:rPr>
            </w:pPr>
          </w:p>
        </w:tc>
      </w:tr>
      <w:tr w14:paraId="7BDCA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DBC54">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11</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4DB1E">
            <w:pPr>
              <w:jc w:val="left"/>
              <w:rPr>
                <w:rFonts w:hint="default" w:ascii="Segoe UI" w:hAnsi="Segoe UI" w:eastAsia="Segoe UI" w:cs="Segoe UI"/>
                <w:i w:val="0"/>
                <w:iCs w:val="0"/>
                <w:color w:val="000000"/>
                <w:sz w:val="22"/>
                <w:szCs w:val="22"/>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7DDC9">
            <w:pPr>
              <w:jc w:val="left"/>
              <w:rPr>
                <w:rFonts w:hint="default" w:ascii="Segoe UI" w:hAnsi="Segoe UI" w:eastAsia="Segoe UI" w:cs="Segoe UI"/>
                <w:i w:val="0"/>
                <w:iCs w:val="0"/>
                <w:color w:val="000000"/>
                <w:sz w:val="22"/>
                <w:szCs w:val="22"/>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42A2A">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制度执行有效性</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56C3B">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有效</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74A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4FAAA">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6</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BFB16">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6</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1504B">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评价要点： ①项目是否制定合理的实施计划，实施过程中是否遵守相关法律法规和相关管理规定，并按照规定程序实施项目，进度是否符合计划； ②项目调整及支出调整手续是否完备，资产管理是否规范，是否开展监督检查、绩效监控和评价； ③项目合同书、验收报告、技术鉴定、监督检查、绩效管理等资料是否齐全并及时归档； ④项目实施的组织机构、人员条件、场地设备、信息支撑等是否落实到位； 评分规则：以上评价要点各占25%权重，每个要点执行情况分达成、部分达成、未达成三档，按100%-80%（含）、80%-60%（含）、60%-0%评分。</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80B95">
            <w:pPr>
              <w:jc w:val="left"/>
              <w:rPr>
                <w:rFonts w:hint="default" w:ascii="Segoe UI" w:hAnsi="Segoe UI" w:eastAsia="Segoe UI" w:cs="Segoe UI"/>
                <w:i w:val="0"/>
                <w:iCs w:val="0"/>
                <w:color w:val="000000"/>
                <w:sz w:val="22"/>
                <w:szCs w:val="22"/>
                <w:u w:val="none"/>
              </w:rPr>
            </w:pPr>
          </w:p>
        </w:tc>
      </w:tr>
      <w:tr w14:paraId="3ABCD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2E2AB">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12</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9AEF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r>
              <w:rPr>
                <w:rStyle w:val="11"/>
                <w:lang w:val="en-US" w:eastAsia="zh-CN" w:bidi="ar"/>
              </w:rPr>
              <w:t>(61)</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C2E673">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数量指标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F7F39">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西医规范化培训参培人数</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EEFF7">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≥1500人</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698AF">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2346</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E8806">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4</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F1EFB">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4</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A9BFA">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统计年度内住院医师规培参培人数。完成目标培训人员数得满分，每少完成100人扣1分。</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B452D">
            <w:pPr>
              <w:jc w:val="left"/>
              <w:rPr>
                <w:rFonts w:hint="default" w:ascii="Segoe UI" w:hAnsi="Segoe UI" w:eastAsia="Segoe UI" w:cs="Segoe UI"/>
                <w:i w:val="0"/>
                <w:iCs w:val="0"/>
                <w:color w:val="000000"/>
                <w:sz w:val="22"/>
                <w:szCs w:val="22"/>
                <w:u w:val="none"/>
              </w:rPr>
            </w:pPr>
          </w:p>
        </w:tc>
      </w:tr>
      <w:tr w14:paraId="59B4C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0BCE2">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13</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76EC43">
            <w:pPr>
              <w:jc w:val="left"/>
              <w:rPr>
                <w:rFonts w:hint="eastAsia" w:ascii="宋体" w:hAnsi="宋体" w:eastAsia="宋体" w:cs="宋体"/>
                <w:i w:val="0"/>
                <w:iCs w:val="0"/>
                <w:color w:val="000000"/>
                <w:sz w:val="22"/>
                <w:szCs w:val="22"/>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00B90">
            <w:pPr>
              <w:jc w:val="left"/>
              <w:rPr>
                <w:rFonts w:hint="default" w:ascii="Segoe UI" w:hAnsi="Segoe UI" w:eastAsia="Segoe UI" w:cs="Segoe UI"/>
                <w:i w:val="0"/>
                <w:iCs w:val="0"/>
                <w:color w:val="000000"/>
                <w:sz w:val="22"/>
                <w:szCs w:val="22"/>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F98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新增省级重点专科（西医）</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68E6A">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≥3个</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5EFB6">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15</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16CF5">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A9C68">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AA7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数量指标完成则为满分，未完成则根据完成数量按比例得分。</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3AA3F">
            <w:pPr>
              <w:jc w:val="left"/>
              <w:rPr>
                <w:rFonts w:hint="default" w:ascii="Segoe UI" w:hAnsi="Segoe UI" w:eastAsia="Segoe UI" w:cs="Segoe UI"/>
                <w:i w:val="0"/>
                <w:iCs w:val="0"/>
                <w:color w:val="000000"/>
                <w:sz w:val="22"/>
                <w:szCs w:val="22"/>
                <w:u w:val="none"/>
              </w:rPr>
            </w:pPr>
          </w:p>
        </w:tc>
      </w:tr>
      <w:tr w14:paraId="75E2E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AFFA2">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14</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751B6">
            <w:pPr>
              <w:jc w:val="left"/>
              <w:rPr>
                <w:rFonts w:hint="eastAsia" w:ascii="宋体" w:hAnsi="宋体" w:eastAsia="宋体" w:cs="宋体"/>
                <w:i w:val="0"/>
                <w:iCs w:val="0"/>
                <w:color w:val="000000"/>
                <w:sz w:val="22"/>
                <w:szCs w:val="22"/>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9A008">
            <w:pPr>
              <w:jc w:val="left"/>
              <w:rPr>
                <w:rFonts w:hint="default" w:ascii="Segoe UI" w:hAnsi="Segoe UI" w:eastAsia="Segoe UI" w:cs="Segoe UI"/>
                <w:i w:val="0"/>
                <w:iCs w:val="0"/>
                <w:color w:val="000000"/>
                <w:sz w:val="22"/>
                <w:szCs w:val="22"/>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B71EA">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新增省级中医重点专科</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C9CA5">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≥3个</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19DFE">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12</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F5286">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A2F62">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A0C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数量指标完成则为满分，未完成则根据完成数量按比例得分。</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DB44B">
            <w:pPr>
              <w:jc w:val="left"/>
              <w:rPr>
                <w:rFonts w:hint="default" w:ascii="Segoe UI" w:hAnsi="Segoe UI" w:eastAsia="Segoe UI" w:cs="Segoe UI"/>
                <w:i w:val="0"/>
                <w:iCs w:val="0"/>
                <w:color w:val="000000"/>
                <w:sz w:val="22"/>
                <w:szCs w:val="22"/>
                <w:u w:val="none"/>
              </w:rPr>
            </w:pPr>
          </w:p>
        </w:tc>
      </w:tr>
      <w:tr w14:paraId="0A628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60EE7">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15</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43D31">
            <w:pPr>
              <w:jc w:val="left"/>
              <w:rPr>
                <w:rFonts w:hint="eastAsia" w:ascii="宋体" w:hAnsi="宋体" w:eastAsia="宋体" w:cs="宋体"/>
                <w:i w:val="0"/>
                <w:iCs w:val="0"/>
                <w:color w:val="000000"/>
                <w:sz w:val="22"/>
                <w:szCs w:val="22"/>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61359A">
            <w:pPr>
              <w:jc w:val="left"/>
              <w:rPr>
                <w:rFonts w:hint="default" w:ascii="Segoe UI" w:hAnsi="Segoe UI" w:eastAsia="Segoe UI" w:cs="Segoe UI"/>
                <w:i w:val="0"/>
                <w:iCs w:val="0"/>
                <w:color w:val="000000"/>
                <w:sz w:val="22"/>
                <w:szCs w:val="22"/>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05AAB">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科研项目经费</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5BF54">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增长</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D6B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未达成</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D42A5">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EFB46">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2</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11B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评价要点：各项目单位科研项目经费情况</w:t>
            </w:r>
            <w:r>
              <w:rPr>
                <w:rStyle w:val="11"/>
                <w:lang w:val="en-US" w:eastAsia="zh-CN" w:bidi="ar"/>
              </w:rPr>
              <w:t xml:space="preserve"> </w:t>
            </w:r>
            <w:r>
              <w:rPr>
                <w:rStyle w:val="11"/>
                <w:lang w:val="en-US" w:eastAsia="zh-CN" w:bidi="ar"/>
              </w:rPr>
              <w:br w:type="textWrapping"/>
            </w:r>
            <w:r>
              <w:rPr>
                <w:rStyle w:val="10"/>
                <w:lang w:val="en-US" w:eastAsia="zh-CN" w:bidi="ar"/>
              </w:rPr>
              <w:t>评分规则：执行情况分达成、部分达成、未达成三档，按</w:t>
            </w:r>
            <w:r>
              <w:rPr>
                <w:rStyle w:val="11"/>
                <w:lang w:val="en-US" w:eastAsia="zh-CN" w:bidi="ar"/>
              </w:rPr>
              <w:t>100%-80%</w:t>
            </w:r>
            <w:r>
              <w:rPr>
                <w:rStyle w:val="10"/>
                <w:lang w:val="en-US" w:eastAsia="zh-CN" w:bidi="ar"/>
              </w:rPr>
              <w:t>（含）、</w:t>
            </w:r>
            <w:r>
              <w:rPr>
                <w:rStyle w:val="11"/>
                <w:lang w:val="en-US" w:eastAsia="zh-CN" w:bidi="ar"/>
              </w:rPr>
              <w:t>80%-60%</w:t>
            </w:r>
            <w:r>
              <w:rPr>
                <w:rStyle w:val="10"/>
                <w:lang w:val="en-US" w:eastAsia="zh-CN" w:bidi="ar"/>
              </w:rPr>
              <w:t>（含）、</w:t>
            </w:r>
            <w:r>
              <w:rPr>
                <w:rStyle w:val="11"/>
                <w:lang w:val="en-US" w:eastAsia="zh-CN" w:bidi="ar"/>
              </w:rPr>
              <w:t>60%-0%</w:t>
            </w:r>
            <w:r>
              <w:rPr>
                <w:rStyle w:val="10"/>
                <w:lang w:val="en-US" w:eastAsia="zh-CN" w:bidi="ar"/>
              </w:rPr>
              <w:t>评分。</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AD50A">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auto"/>
                <w:sz w:val="22"/>
                <w:szCs w:val="22"/>
                <w:u w:val="none"/>
                <w:lang w:val="en-US" w:eastAsia="zh-CN"/>
              </w:rPr>
              <w:t>2023年全系统共获得科研项目经费4.467亿元，比上年度减少0.908亿元。主要原因是：一是2022年本系统突破性获批1项国家科技创新2030重大项目（研究经费5955.1万元）、1项国家重点研发计划项目（研究经费2000万元），使得年度科研项目经费大幅上涨（比2021年度增涨43.5%）；而国家级重大重点科技项目立项存在一定的不确定性，无法保证每年持续获批；二是由于国家机构改革，2023年起科技部部分职能移交国家卫健委，相关科技计划有所调整，2023年本系统获得的国家级科研项目经费比2022年减少0.9亿元。</w:t>
            </w:r>
          </w:p>
        </w:tc>
      </w:tr>
      <w:tr w14:paraId="3B671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F2BCA">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16</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2533E">
            <w:pPr>
              <w:jc w:val="left"/>
              <w:rPr>
                <w:rFonts w:hint="eastAsia" w:ascii="宋体" w:hAnsi="宋体" w:eastAsia="宋体" w:cs="宋体"/>
                <w:i w:val="0"/>
                <w:iCs w:val="0"/>
                <w:color w:val="000000"/>
                <w:sz w:val="22"/>
                <w:szCs w:val="22"/>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A32EEB">
            <w:pPr>
              <w:jc w:val="left"/>
              <w:rPr>
                <w:rFonts w:hint="default" w:ascii="Segoe UI" w:hAnsi="Segoe UI" w:eastAsia="Segoe UI" w:cs="Segoe UI"/>
                <w:i w:val="0"/>
                <w:iCs w:val="0"/>
                <w:color w:val="000000"/>
                <w:sz w:val="22"/>
                <w:szCs w:val="22"/>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4903D">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科技论文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2B9BC">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增长</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0C9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425AD">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14814">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3E6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统计年度内发表的统计源期刊、核心期刊、中华系列杂志及</w:t>
            </w:r>
            <w:r>
              <w:rPr>
                <w:rStyle w:val="12"/>
                <w:lang w:val="en-US" w:eastAsia="zh-CN" w:bidi="ar"/>
              </w:rPr>
              <w:t>SCI</w:t>
            </w:r>
            <w:r>
              <w:rPr>
                <w:rStyle w:val="13"/>
                <w:lang w:val="en-US" w:eastAsia="zh-CN" w:bidi="ar"/>
              </w:rPr>
              <w:t>收录的论文数量，与前一年度科技论文数量比较是否有增长。评分规则：执行情况分达成、部分达成、未达成三档，按100%-80%（含）、80%-60%（含）、60%-0%评分。</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8F53C">
            <w:pPr>
              <w:jc w:val="left"/>
              <w:rPr>
                <w:rFonts w:hint="default" w:ascii="Segoe UI" w:hAnsi="Segoe UI" w:eastAsia="Segoe UI" w:cs="Segoe UI"/>
                <w:i w:val="0"/>
                <w:iCs w:val="0"/>
                <w:color w:val="000000"/>
                <w:sz w:val="22"/>
                <w:szCs w:val="22"/>
                <w:u w:val="none"/>
              </w:rPr>
            </w:pPr>
          </w:p>
        </w:tc>
      </w:tr>
      <w:tr w14:paraId="66388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19244">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17</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15C17">
            <w:pPr>
              <w:jc w:val="left"/>
              <w:rPr>
                <w:rFonts w:hint="eastAsia" w:ascii="宋体" w:hAnsi="宋体" w:eastAsia="宋体" w:cs="宋体"/>
                <w:i w:val="0"/>
                <w:iCs w:val="0"/>
                <w:color w:val="000000"/>
                <w:sz w:val="22"/>
                <w:szCs w:val="22"/>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DA34E">
            <w:pPr>
              <w:jc w:val="left"/>
              <w:rPr>
                <w:rFonts w:hint="default" w:ascii="Segoe UI" w:hAnsi="Segoe UI" w:eastAsia="Segoe UI" w:cs="Segoe UI"/>
                <w:i w:val="0"/>
                <w:iCs w:val="0"/>
                <w:color w:val="000000"/>
                <w:sz w:val="22"/>
                <w:szCs w:val="22"/>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D0464">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全国基层中医药工作示范县创建个数</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A0EF8">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≥1个</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4B305">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2</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0F48B">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0CE63">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301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数量指标完成则为满分，未完成则根据完成数量按比例得分。</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37F90">
            <w:pPr>
              <w:jc w:val="left"/>
              <w:rPr>
                <w:rFonts w:hint="default" w:ascii="Segoe UI" w:hAnsi="Segoe UI" w:eastAsia="Segoe UI" w:cs="Segoe UI"/>
                <w:i w:val="0"/>
                <w:iCs w:val="0"/>
                <w:color w:val="000000"/>
                <w:sz w:val="22"/>
                <w:szCs w:val="22"/>
                <w:u w:val="none"/>
              </w:rPr>
            </w:pPr>
          </w:p>
        </w:tc>
      </w:tr>
      <w:tr w14:paraId="5390F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9D817">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18</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8BA9F">
            <w:pPr>
              <w:jc w:val="left"/>
              <w:rPr>
                <w:rFonts w:hint="eastAsia" w:ascii="宋体" w:hAnsi="宋体" w:eastAsia="宋体" w:cs="宋体"/>
                <w:i w:val="0"/>
                <w:iCs w:val="0"/>
                <w:color w:val="000000"/>
                <w:sz w:val="22"/>
                <w:szCs w:val="22"/>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B51673">
            <w:pPr>
              <w:jc w:val="left"/>
              <w:rPr>
                <w:rFonts w:hint="default" w:ascii="Segoe UI" w:hAnsi="Segoe UI" w:eastAsia="Segoe UI" w:cs="Segoe UI"/>
                <w:i w:val="0"/>
                <w:iCs w:val="0"/>
                <w:color w:val="000000"/>
                <w:sz w:val="22"/>
                <w:szCs w:val="22"/>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59584">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新增名中医工作室</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BAE71">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≥8</w:t>
            </w:r>
            <w:r>
              <w:rPr>
                <w:rStyle w:val="10"/>
                <w:lang w:val="en-US" w:eastAsia="zh-CN" w:bidi="ar"/>
              </w:rPr>
              <w:t>个</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D591C">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23</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6D252">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7661F">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AB5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数量指标完成则为满分，未完成则根据完成数量按比例得分。</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471A1">
            <w:pPr>
              <w:jc w:val="left"/>
              <w:rPr>
                <w:rFonts w:hint="default" w:ascii="Segoe UI" w:hAnsi="Segoe UI" w:eastAsia="Segoe UI" w:cs="Segoe UI"/>
                <w:i w:val="0"/>
                <w:iCs w:val="0"/>
                <w:color w:val="000000"/>
                <w:sz w:val="22"/>
                <w:szCs w:val="22"/>
                <w:u w:val="none"/>
              </w:rPr>
            </w:pPr>
          </w:p>
        </w:tc>
      </w:tr>
      <w:tr w14:paraId="7EDF7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937DE">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19</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D4465">
            <w:pPr>
              <w:jc w:val="left"/>
              <w:rPr>
                <w:rFonts w:hint="eastAsia" w:ascii="宋体" w:hAnsi="宋体" w:eastAsia="宋体" w:cs="宋体"/>
                <w:i w:val="0"/>
                <w:iCs w:val="0"/>
                <w:color w:val="000000"/>
                <w:sz w:val="22"/>
                <w:szCs w:val="22"/>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504D7">
            <w:pPr>
              <w:jc w:val="left"/>
              <w:rPr>
                <w:rFonts w:hint="default" w:ascii="Segoe UI" w:hAnsi="Segoe UI" w:eastAsia="Segoe UI" w:cs="Segoe UI"/>
                <w:i w:val="0"/>
                <w:iCs w:val="0"/>
                <w:color w:val="000000"/>
                <w:sz w:val="22"/>
                <w:szCs w:val="22"/>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36D4E">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市级师承带教项目</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2A9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11"/>
                <w:lang w:val="en-US" w:eastAsia="zh-CN" w:bidi="ar"/>
              </w:rPr>
              <w:t>20</w:t>
            </w:r>
            <w:r>
              <w:rPr>
                <w:rStyle w:val="10"/>
                <w:lang w:val="en-US" w:eastAsia="zh-CN" w:bidi="ar"/>
              </w:rPr>
              <w:t>个</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062BB">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39</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C6998">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AE9E1">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AAC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数量指标完成则为满分，未完成则根据完成数量按比例得分。</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B6D4C">
            <w:pPr>
              <w:jc w:val="left"/>
              <w:rPr>
                <w:rFonts w:hint="default" w:ascii="Segoe UI" w:hAnsi="Segoe UI" w:eastAsia="Segoe UI" w:cs="Segoe UI"/>
                <w:i w:val="0"/>
                <w:iCs w:val="0"/>
                <w:color w:val="000000"/>
                <w:sz w:val="22"/>
                <w:szCs w:val="22"/>
                <w:u w:val="none"/>
              </w:rPr>
            </w:pPr>
          </w:p>
        </w:tc>
      </w:tr>
      <w:tr w14:paraId="58ADB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5C8A6">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20</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E853D">
            <w:pPr>
              <w:jc w:val="left"/>
              <w:rPr>
                <w:rFonts w:hint="eastAsia" w:ascii="宋体" w:hAnsi="宋体" w:eastAsia="宋体" w:cs="宋体"/>
                <w:i w:val="0"/>
                <w:iCs w:val="0"/>
                <w:color w:val="000000"/>
                <w:sz w:val="22"/>
                <w:szCs w:val="22"/>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4B291">
            <w:pPr>
              <w:jc w:val="left"/>
              <w:rPr>
                <w:rFonts w:hint="default" w:ascii="Segoe UI" w:hAnsi="Segoe UI" w:eastAsia="Segoe UI" w:cs="Segoe UI"/>
                <w:i w:val="0"/>
                <w:iCs w:val="0"/>
                <w:color w:val="000000"/>
                <w:sz w:val="22"/>
                <w:szCs w:val="22"/>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EB5F4">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中医住院医师规范化培训</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296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11"/>
                <w:lang w:val="en-US" w:eastAsia="zh-CN" w:bidi="ar"/>
              </w:rPr>
              <w:t>300</w:t>
            </w:r>
            <w:r>
              <w:rPr>
                <w:rStyle w:val="10"/>
                <w:lang w:val="en-US" w:eastAsia="zh-CN" w:bidi="ar"/>
              </w:rPr>
              <w:t>人</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E287A">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780</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3546A">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BB7E7">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19B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数量指标完成则为满分，未完成则根据完成数量按比例得分。</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F1A6D">
            <w:pPr>
              <w:jc w:val="left"/>
              <w:rPr>
                <w:rFonts w:hint="default" w:ascii="Segoe UI" w:hAnsi="Segoe UI" w:eastAsia="Segoe UI" w:cs="Segoe UI"/>
                <w:i w:val="0"/>
                <w:iCs w:val="0"/>
                <w:color w:val="000000"/>
                <w:sz w:val="22"/>
                <w:szCs w:val="22"/>
                <w:u w:val="none"/>
              </w:rPr>
            </w:pPr>
          </w:p>
        </w:tc>
      </w:tr>
      <w:tr w14:paraId="62547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7FAFA">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21</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64267">
            <w:pPr>
              <w:jc w:val="left"/>
              <w:rPr>
                <w:rFonts w:hint="eastAsia" w:ascii="宋体" w:hAnsi="宋体" w:eastAsia="宋体" w:cs="宋体"/>
                <w:i w:val="0"/>
                <w:iCs w:val="0"/>
                <w:color w:val="000000"/>
                <w:sz w:val="22"/>
                <w:szCs w:val="22"/>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D4BB7">
            <w:pPr>
              <w:jc w:val="left"/>
              <w:rPr>
                <w:rFonts w:hint="default" w:ascii="Segoe UI" w:hAnsi="Segoe UI" w:eastAsia="Segoe UI" w:cs="Segoe UI"/>
                <w:i w:val="0"/>
                <w:iCs w:val="0"/>
                <w:color w:val="000000"/>
                <w:sz w:val="22"/>
                <w:szCs w:val="22"/>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272D7">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等级医院创建（中医）</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DB2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11"/>
                <w:lang w:val="en-US" w:eastAsia="zh-CN" w:bidi="ar"/>
              </w:rPr>
              <w:t>8</w:t>
            </w:r>
            <w:r>
              <w:rPr>
                <w:rStyle w:val="10"/>
                <w:lang w:val="en-US" w:eastAsia="zh-CN" w:bidi="ar"/>
              </w:rPr>
              <w:t>个</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B684E">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8</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4CD6C">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16C1B">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1EE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数量指标完成则为满分，未完成则根据完成数量按比例得分。</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E7E76">
            <w:pPr>
              <w:jc w:val="left"/>
              <w:rPr>
                <w:rFonts w:hint="default" w:ascii="Segoe UI" w:hAnsi="Segoe UI" w:eastAsia="Segoe UI" w:cs="Segoe UI"/>
                <w:i w:val="0"/>
                <w:iCs w:val="0"/>
                <w:color w:val="000000"/>
                <w:sz w:val="22"/>
                <w:szCs w:val="22"/>
                <w:u w:val="none"/>
              </w:rPr>
            </w:pPr>
          </w:p>
        </w:tc>
      </w:tr>
      <w:tr w14:paraId="09A67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769A8">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22</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177D5">
            <w:pPr>
              <w:jc w:val="left"/>
              <w:rPr>
                <w:rFonts w:hint="eastAsia" w:ascii="宋体" w:hAnsi="宋体" w:eastAsia="宋体" w:cs="宋体"/>
                <w:i w:val="0"/>
                <w:iCs w:val="0"/>
                <w:color w:val="000000"/>
                <w:sz w:val="22"/>
                <w:szCs w:val="22"/>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2DAAF">
            <w:pPr>
              <w:jc w:val="left"/>
              <w:rPr>
                <w:rFonts w:hint="default" w:ascii="Segoe UI" w:hAnsi="Segoe UI" w:eastAsia="Segoe UI" w:cs="Segoe UI"/>
                <w:i w:val="0"/>
                <w:iCs w:val="0"/>
                <w:color w:val="000000"/>
                <w:sz w:val="22"/>
                <w:szCs w:val="22"/>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FE471">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市级中医重点专科建设数量</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08D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11"/>
                <w:lang w:val="en-US" w:eastAsia="zh-CN" w:bidi="ar"/>
              </w:rPr>
              <w:t>40</w:t>
            </w:r>
            <w:r>
              <w:rPr>
                <w:rStyle w:val="10"/>
                <w:lang w:val="en-US" w:eastAsia="zh-CN" w:bidi="ar"/>
              </w:rPr>
              <w:t>个</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71A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DF26A">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6C708">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142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数量指标完成则为满分，未完成则根据完成数量按比例得分。具体见《南京市中医重点专科管理办法》（宁卫中医〔2023〕2号）</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31284">
            <w:pPr>
              <w:jc w:val="left"/>
              <w:rPr>
                <w:rFonts w:hint="default" w:ascii="Segoe UI" w:hAnsi="Segoe UI" w:eastAsia="Segoe UI" w:cs="Segoe UI"/>
                <w:i w:val="0"/>
                <w:iCs w:val="0"/>
                <w:color w:val="000000"/>
                <w:sz w:val="22"/>
                <w:szCs w:val="22"/>
                <w:u w:val="none"/>
              </w:rPr>
            </w:pPr>
          </w:p>
        </w:tc>
      </w:tr>
      <w:tr w14:paraId="2EB6F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91530">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23</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423CD">
            <w:pPr>
              <w:jc w:val="left"/>
              <w:rPr>
                <w:rFonts w:hint="eastAsia" w:ascii="宋体" w:hAnsi="宋体" w:eastAsia="宋体" w:cs="宋体"/>
                <w:i w:val="0"/>
                <w:iCs w:val="0"/>
                <w:color w:val="000000"/>
                <w:sz w:val="22"/>
                <w:szCs w:val="22"/>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D8776">
            <w:pPr>
              <w:jc w:val="left"/>
              <w:rPr>
                <w:rFonts w:hint="default" w:ascii="Segoe UI" w:hAnsi="Segoe UI" w:eastAsia="Segoe UI" w:cs="Segoe UI"/>
                <w:i w:val="0"/>
                <w:iCs w:val="0"/>
                <w:color w:val="000000"/>
                <w:sz w:val="22"/>
                <w:szCs w:val="22"/>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E547B">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名中医工作室基层工作站建设数量</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04E1E">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≥40个</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402B7">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69</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61200">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D5FD6">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77E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数量指标完成则为满分，未完成则根据完成数量按比例得分。</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AF004">
            <w:pPr>
              <w:jc w:val="left"/>
              <w:rPr>
                <w:rFonts w:hint="default" w:ascii="Segoe UI" w:hAnsi="Segoe UI" w:eastAsia="Segoe UI" w:cs="Segoe UI"/>
                <w:i w:val="0"/>
                <w:iCs w:val="0"/>
                <w:color w:val="000000"/>
                <w:sz w:val="22"/>
                <w:szCs w:val="22"/>
                <w:u w:val="none"/>
              </w:rPr>
            </w:pPr>
          </w:p>
        </w:tc>
      </w:tr>
      <w:tr w14:paraId="2812E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E0B7C">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24</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AB923">
            <w:pPr>
              <w:jc w:val="left"/>
              <w:rPr>
                <w:rFonts w:hint="eastAsia" w:ascii="宋体" w:hAnsi="宋体" w:eastAsia="宋体" w:cs="宋体"/>
                <w:i w:val="0"/>
                <w:iCs w:val="0"/>
                <w:color w:val="000000"/>
                <w:sz w:val="22"/>
                <w:szCs w:val="22"/>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B1D7F">
            <w:pPr>
              <w:jc w:val="left"/>
              <w:rPr>
                <w:rFonts w:hint="default" w:ascii="Segoe UI" w:hAnsi="Segoe UI" w:eastAsia="Segoe UI" w:cs="Segoe UI"/>
                <w:i w:val="0"/>
                <w:iCs w:val="0"/>
                <w:color w:val="000000"/>
                <w:sz w:val="22"/>
                <w:szCs w:val="22"/>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BFEE9">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二级以上公立中医院科室达标建设机构数量</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FA5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11"/>
                <w:lang w:val="en-US" w:eastAsia="zh-CN" w:bidi="ar"/>
              </w:rPr>
              <w:t>8</w:t>
            </w:r>
            <w:r>
              <w:rPr>
                <w:rStyle w:val="10"/>
                <w:lang w:val="en-US" w:eastAsia="zh-CN" w:bidi="ar"/>
              </w:rPr>
              <w:t>个</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54BDE">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8</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16EFD">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6E241">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33F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数量指标完成则为满分，未完成则根据完成数量按比例得分。</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E6734">
            <w:pPr>
              <w:jc w:val="left"/>
              <w:rPr>
                <w:rFonts w:hint="default" w:ascii="Segoe UI" w:hAnsi="Segoe UI" w:eastAsia="Segoe UI" w:cs="Segoe UI"/>
                <w:i w:val="0"/>
                <w:iCs w:val="0"/>
                <w:color w:val="000000"/>
                <w:sz w:val="22"/>
                <w:szCs w:val="22"/>
                <w:u w:val="none"/>
              </w:rPr>
            </w:pPr>
          </w:p>
        </w:tc>
      </w:tr>
      <w:tr w14:paraId="3C8E6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B2683">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25</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87D85A">
            <w:pPr>
              <w:jc w:val="left"/>
              <w:rPr>
                <w:rFonts w:hint="eastAsia" w:ascii="宋体" w:hAnsi="宋体" w:eastAsia="宋体" w:cs="宋体"/>
                <w:i w:val="0"/>
                <w:iCs w:val="0"/>
                <w:color w:val="000000"/>
                <w:sz w:val="22"/>
                <w:szCs w:val="22"/>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2D295">
            <w:pPr>
              <w:jc w:val="left"/>
              <w:rPr>
                <w:rFonts w:hint="default" w:ascii="Segoe UI" w:hAnsi="Segoe UI" w:eastAsia="Segoe UI" w:cs="Segoe UI"/>
                <w:i w:val="0"/>
                <w:iCs w:val="0"/>
                <w:color w:val="000000"/>
                <w:sz w:val="22"/>
                <w:szCs w:val="22"/>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42196">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市级中医药人才培养人数</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2154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r>
              <w:rPr>
                <w:rStyle w:val="11"/>
                <w:lang w:val="en-US" w:eastAsia="zh-CN" w:bidi="ar"/>
              </w:rPr>
              <w:t>79</w:t>
            </w:r>
            <w:r>
              <w:rPr>
                <w:rStyle w:val="10"/>
                <w:lang w:val="en-US" w:eastAsia="zh-CN" w:bidi="ar"/>
              </w:rPr>
              <w:t>个</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2D7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D5643">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AC711">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F19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数量指标完成则为满分，未完成则根据完成数量按比例得分。</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F8860">
            <w:pPr>
              <w:jc w:val="left"/>
              <w:rPr>
                <w:rFonts w:hint="default" w:ascii="Segoe UI" w:hAnsi="Segoe UI" w:eastAsia="Segoe UI" w:cs="Segoe UI"/>
                <w:i w:val="0"/>
                <w:iCs w:val="0"/>
                <w:color w:val="000000"/>
                <w:sz w:val="22"/>
                <w:szCs w:val="22"/>
                <w:u w:val="none"/>
              </w:rPr>
            </w:pPr>
          </w:p>
        </w:tc>
      </w:tr>
      <w:tr w14:paraId="75820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7F237">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26</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61267">
            <w:pPr>
              <w:jc w:val="left"/>
              <w:rPr>
                <w:rFonts w:hint="eastAsia" w:ascii="宋体" w:hAnsi="宋体" w:eastAsia="宋体" w:cs="宋体"/>
                <w:i w:val="0"/>
                <w:iCs w:val="0"/>
                <w:color w:val="000000"/>
                <w:sz w:val="22"/>
                <w:szCs w:val="22"/>
                <w:u w:val="none"/>
              </w:rPr>
            </w:pP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7253E1">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质量指标</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81592">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规范化培训合格率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19C1A">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≥90%</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B8BEB">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92.22%</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B73D7">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D14A6">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57FD7">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评价要点：结业考核通过率=（全年通过结业考核人数/全年参加结业考核人数）×100%。评分细则：完成全年指标值的，得权重分；未达到全年指标值的，每低于指标1%，扣2分，扣完为止。</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5214F">
            <w:pPr>
              <w:jc w:val="left"/>
              <w:rPr>
                <w:rFonts w:hint="default" w:ascii="Segoe UI" w:hAnsi="Segoe UI" w:eastAsia="Segoe UI" w:cs="Segoe UI"/>
                <w:i w:val="0"/>
                <w:iCs w:val="0"/>
                <w:color w:val="000000"/>
                <w:sz w:val="22"/>
                <w:szCs w:val="22"/>
                <w:u w:val="none"/>
              </w:rPr>
            </w:pPr>
          </w:p>
        </w:tc>
      </w:tr>
      <w:tr w14:paraId="2A1EB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27E03">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27</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18EE7">
            <w:pPr>
              <w:jc w:val="left"/>
              <w:rPr>
                <w:rFonts w:hint="eastAsia" w:ascii="宋体" w:hAnsi="宋体" w:eastAsia="宋体" w:cs="宋体"/>
                <w:i w:val="0"/>
                <w:iCs w:val="0"/>
                <w:color w:val="000000"/>
                <w:sz w:val="22"/>
                <w:szCs w:val="22"/>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60E23">
            <w:pPr>
              <w:jc w:val="left"/>
              <w:rPr>
                <w:rFonts w:hint="default" w:ascii="Segoe UI" w:hAnsi="Segoe UI" w:eastAsia="Segoe UI" w:cs="Segoe UI"/>
                <w:i w:val="0"/>
                <w:iCs w:val="0"/>
                <w:color w:val="000000"/>
                <w:sz w:val="22"/>
                <w:szCs w:val="22"/>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FA515">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市级重点专科年度考核合格率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0BEEB">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≥95%</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044E5">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100.00%</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E5FCF">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18668">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0C8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年度考核合格率达到95%的，得满分；每下降1%，评分减10%。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7825A">
            <w:pPr>
              <w:jc w:val="left"/>
              <w:rPr>
                <w:rFonts w:hint="default" w:ascii="Segoe UI" w:hAnsi="Segoe UI" w:eastAsia="Segoe UI" w:cs="Segoe UI"/>
                <w:i w:val="0"/>
                <w:iCs w:val="0"/>
                <w:color w:val="000000"/>
                <w:sz w:val="22"/>
                <w:szCs w:val="22"/>
                <w:u w:val="none"/>
              </w:rPr>
            </w:pPr>
          </w:p>
        </w:tc>
      </w:tr>
      <w:tr w14:paraId="6FBAC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E9A0A">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28</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02468">
            <w:pPr>
              <w:jc w:val="left"/>
              <w:rPr>
                <w:rFonts w:hint="eastAsia" w:ascii="宋体" w:hAnsi="宋体" w:eastAsia="宋体" w:cs="宋体"/>
                <w:i w:val="0"/>
                <w:iCs w:val="0"/>
                <w:color w:val="000000"/>
                <w:sz w:val="22"/>
                <w:szCs w:val="22"/>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C6732">
            <w:pPr>
              <w:jc w:val="left"/>
              <w:rPr>
                <w:rFonts w:hint="default" w:ascii="Segoe UI" w:hAnsi="Segoe UI" w:eastAsia="Segoe UI" w:cs="Segoe UI"/>
                <w:i w:val="0"/>
                <w:iCs w:val="0"/>
                <w:color w:val="000000"/>
                <w:sz w:val="22"/>
                <w:szCs w:val="22"/>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05685">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市级重点专科中期考核合格率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C9488">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≥95%</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C408C">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100.00%</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329C3">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08F58">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2F6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中期考核合格率达到95%的，得满分；每下降1%，评分减10%。</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3EE4A">
            <w:pPr>
              <w:jc w:val="left"/>
              <w:rPr>
                <w:rFonts w:hint="default" w:ascii="Segoe UI" w:hAnsi="Segoe UI" w:eastAsia="Segoe UI" w:cs="Segoe UI"/>
                <w:i w:val="0"/>
                <w:iCs w:val="0"/>
                <w:color w:val="000000"/>
                <w:sz w:val="22"/>
                <w:szCs w:val="22"/>
                <w:u w:val="none"/>
              </w:rPr>
            </w:pPr>
          </w:p>
        </w:tc>
      </w:tr>
      <w:tr w14:paraId="0E469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FF97E">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29</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70260">
            <w:pPr>
              <w:jc w:val="left"/>
              <w:rPr>
                <w:rFonts w:hint="eastAsia" w:ascii="宋体" w:hAnsi="宋体" w:eastAsia="宋体" w:cs="宋体"/>
                <w:i w:val="0"/>
                <w:iCs w:val="0"/>
                <w:color w:val="000000"/>
                <w:sz w:val="22"/>
                <w:szCs w:val="22"/>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F0A28">
            <w:pPr>
              <w:jc w:val="left"/>
              <w:rPr>
                <w:rFonts w:hint="default" w:ascii="Segoe UI" w:hAnsi="Segoe UI" w:eastAsia="Segoe UI" w:cs="Segoe UI"/>
                <w:i w:val="0"/>
                <w:iCs w:val="0"/>
                <w:color w:val="000000"/>
                <w:sz w:val="22"/>
                <w:szCs w:val="22"/>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F8367">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中医机构医疗行为</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2BA22">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规范</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057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29935">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ECB6D">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64C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评价要点：1.是否具有相应的业务管理等制度；2.是否开展规范医疗行为的行动。</w:t>
            </w:r>
            <w:r>
              <w:rPr>
                <w:rStyle w:val="11"/>
                <w:lang w:val="en-US" w:eastAsia="zh-CN" w:bidi="ar"/>
              </w:rPr>
              <w:t xml:space="preserve"> </w:t>
            </w:r>
            <w:r>
              <w:rPr>
                <w:rStyle w:val="10"/>
                <w:lang w:val="en-US" w:eastAsia="zh-CN" w:bidi="ar"/>
              </w:rPr>
              <w:t>评分规则：以上评价要点各占50</w:t>
            </w:r>
            <w:r>
              <w:rPr>
                <w:rStyle w:val="11"/>
                <w:lang w:val="en-US" w:eastAsia="zh-CN" w:bidi="ar"/>
              </w:rPr>
              <w:t>%</w:t>
            </w:r>
            <w:r>
              <w:rPr>
                <w:rStyle w:val="10"/>
                <w:lang w:val="en-US" w:eastAsia="zh-CN" w:bidi="ar"/>
              </w:rPr>
              <w:t>权重，每个要点执行情况分达成、部分达成、未达成三档，按</w:t>
            </w:r>
            <w:r>
              <w:rPr>
                <w:rStyle w:val="11"/>
                <w:lang w:val="en-US" w:eastAsia="zh-CN" w:bidi="ar"/>
              </w:rPr>
              <w:t>100%-80%</w:t>
            </w:r>
            <w:r>
              <w:rPr>
                <w:rStyle w:val="10"/>
                <w:lang w:val="en-US" w:eastAsia="zh-CN" w:bidi="ar"/>
              </w:rPr>
              <w:t>（含）、</w:t>
            </w:r>
            <w:r>
              <w:rPr>
                <w:rStyle w:val="11"/>
                <w:lang w:val="en-US" w:eastAsia="zh-CN" w:bidi="ar"/>
              </w:rPr>
              <w:t>80%-60%</w:t>
            </w:r>
            <w:r>
              <w:rPr>
                <w:rStyle w:val="10"/>
                <w:lang w:val="en-US" w:eastAsia="zh-CN" w:bidi="ar"/>
              </w:rPr>
              <w:t>（含）、</w:t>
            </w:r>
            <w:r>
              <w:rPr>
                <w:rStyle w:val="11"/>
                <w:lang w:val="en-US" w:eastAsia="zh-CN" w:bidi="ar"/>
              </w:rPr>
              <w:t>60%-0%</w:t>
            </w:r>
            <w:r>
              <w:rPr>
                <w:rStyle w:val="10"/>
                <w:lang w:val="en-US" w:eastAsia="zh-CN" w:bidi="ar"/>
              </w:rPr>
              <w:t>评分。</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6DFFA">
            <w:pPr>
              <w:jc w:val="left"/>
              <w:rPr>
                <w:rFonts w:hint="default" w:ascii="Segoe UI" w:hAnsi="Segoe UI" w:eastAsia="Segoe UI" w:cs="Segoe UI"/>
                <w:i w:val="0"/>
                <w:iCs w:val="0"/>
                <w:color w:val="000000"/>
                <w:sz w:val="22"/>
                <w:szCs w:val="22"/>
                <w:u w:val="none"/>
              </w:rPr>
            </w:pPr>
          </w:p>
        </w:tc>
      </w:tr>
      <w:tr w14:paraId="4D162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1AEFC">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30</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FD421">
            <w:pPr>
              <w:jc w:val="left"/>
              <w:rPr>
                <w:rFonts w:hint="eastAsia" w:ascii="宋体" w:hAnsi="宋体" w:eastAsia="宋体" w:cs="宋体"/>
                <w:i w:val="0"/>
                <w:iCs w:val="0"/>
                <w:color w:val="000000"/>
                <w:sz w:val="22"/>
                <w:szCs w:val="22"/>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462C5">
            <w:pPr>
              <w:jc w:val="left"/>
              <w:rPr>
                <w:rFonts w:hint="default" w:ascii="Segoe UI" w:hAnsi="Segoe UI" w:eastAsia="Segoe UI" w:cs="Segoe UI"/>
                <w:i w:val="0"/>
                <w:iCs w:val="0"/>
                <w:color w:val="000000"/>
                <w:sz w:val="22"/>
                <w:szCs w:val="22"/>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DE100">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高水平科技论文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9DF98">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增长</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56B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BF27D">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E381C">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A93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统计年度内发表超过</w:t>
            </w:r>
            <w:r>
              <w:rPr>
                <w:rStyle w:val="12"/>
                <w:lang w:val="en-US" w:eastAsia="zh-CN" w:bidi="ar"/>
              </w:rPr>
              <w:t>10</w:t>
            </w:r>
            <w:r>
              <w:rPr>
                <w:rStyle w:val="13"/>
                <w:lang w:val="en-US" w:eastAsia="zh-CN" w:bidi="ar"/>
              </w:rPr>
              <w:t>分的</w:t>
            </w:r>
            <w:r>
              <w:rPr>
                <w:rStyle w:val="12"/>
                <w:lang w:val="en-US" w:eastAsia="zh-CN" w:bidi="ar"/>
              </w:rPr>
              <w:t>SCI</w:t>
            </w:r>
            <w:r>
              <w:rPr>
                <w:rStyle w:val="13"/>
                <w:lang w:val="en-US" w:eastAsia="zh-CN" w:bidi="ar"/>
              </w:rPr>
              <w:t>论文数量，与前一年度高水平科技论文数量比较是否有增长。评分规则：执行情况分达成、部分达成、未达成三档，按100%-80%（含）、80%-60%（含）、60%-0%评分。</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411B5">
            <w:pPr>
              <w:jc w:val="left"/>
              <w:rPr>
                <w:rFonts w:hint="default" w:ascii="Segoe UI" w:hAnsi="Segoe UI" w:eastAsia="Segoe UI" w:cs="Segoe UI"/>
                <w:i w:val="0"/>
                <w:iCs w:val="0"/>
                <w:color w:val="000000"/>
                <w:sz w:val="22"/>
                <w:szCs w:val="22"/>
                <w:u w:val="none"/>
              </w:rPr>
            </w:pPr>
          </w:p>
        </w:tc>
      </w:tr>
      <w:tr w14:paraId="1DF26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22175">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31</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A91A2">
            <w:pPr>
              <w:jc w:val="left"/>
              <w:rPr>
                <w:rFonts w:hint="eastAsia" w:ascii="宋体" w:hAnsi="宋体" w:eastAsia="宋体" w:cs="宋体"/>
                <w:i w:val="0"/>
                <w:iCs w:val="0"/>
                <w:color w:val="000000"/>
                <w:sz w:val="22"/>
                <w:szCs w:val="22"/>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8148A">
            <w:pPr>
              <w:jc w:val="left"/>
              <w:rPr>
                <w:rFonts w:hint="default" w:ascii="Segoe UI" w:hAnsi="Segoe UI" w:eastAsia="Segoe UI" w:cs="Segoe UI"/>
                <w:i w:val="0"/>
                <w:iCs w:val="0"/>
                <w:color w:val="000000"/>
                <w:sz w:val="22"/>
                <w:szCs w:val="22"/>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D79D0">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科技成果转化</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D2D82">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增长</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ED9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46697">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CE622">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724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统计年度内科技成果实现市场转化的数量。已签订协议为准，与前一年科技成果转化数量比较是否有增长。评分规则：执行情况分达成、部分达成、未达成三档，按100%-80%（含）、80%-60%（含）、60%-0%评分。</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56EF3C">
            <w:pPr>
              <w:jc w:val="left"/>
              <w:rPr>
                <w:rFonts w:hint="default" w:ascii="Segoe UI" w:hAnsi="Segoe UI" w:eastAsia="Segoe UI" w:cs="Segoe UI"/>
                <w:i w:val="0"/>
                <w:iCs w:val="0"/>
                <w:color w:val="000000"/>
                <w:sz w:val="22"/>
                <w:szCs w:val="22"/>
                <w:u w:val="none"/>
              </w:rPr>
            </w:pPr>
          </w:p>
        </w:tc>
      </w:tr>
      <w:tr w14:paraId="0D9DA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45435">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32</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770F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r>
              <w:rPr>
                <w:rStyle w:val="11"/>
                <w:lang w:val="en-US" w:eastAsia="zh-CN" w:bidi="ar"/>
              </w:rPr>
              <w:t>(9</w:t>
            </w:r>
            <w:r>
              <w:rPr>
                <w:rStyle w:val="10"/>
                <w:lang w:val="en-US" w:eastAsia="zh-CN" w:bidi="ar"/>
              </w:rPr>
              <w:t>）</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1F56E9">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社会效益</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D8338">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群众中医药知晓率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65FA2">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提高</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5B4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81921">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07F44">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B7A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0"/>
                <w:lang w:val="en-US" w:eastAsia="zh-CN" w:bidi="ar"/>
              </w:rPr>
              <w:t>考察群众对中医药知晓情况。</w:t>
            </w:r>
            <w:bookmarkStart w:id="1" w:name="_GoBack"/>
            <w:bookmarkEnd w:id="1"/>
            <w:r>
              <w:rPr>
                <w:rStyle w:val="11"/>
                <w:lang w:val="en-US" w:eastAsia="zh-CN" w:bidi="ar"/>
              </w:rPr>
              <w:t xml:space="preserve"> </w:t>
            </w:r>
            <w:r>
              <w:rPr>
                <w:rStyle w:val="10"/>
                <w:lang w:val="en-US" w:eastAsia="zh-CN" w:bidi="ar"/>
              </w:rPr>
              <w:t>评分规则：要点执行情况分达成、部分达成、未达成三档，按</w:t>
            </w:r>
            <w:r>
              <w:rPr>
                <w:rStyle w:val="11"/>
                <w:lang w:val="en-US" w:eastAsia="zh-CN" w:bidi="ar"/>
              </w:rPr>
              <w:t>100%-80%</w:t>
            </w:r>
            <w:r>
              <w:rPr>
                <w:rStyle w:val="10"/>
                <w:lang w:val="en-US" w:eastAsia="zh-CN" w:bidi="ar"/>
              </w:rPr>
              <w:t>（含）、</w:t>
            </w:r>
            <w:r>
              <w:rPr>
                <w:rStyle w:val="11"/>
                <w:lang w:val="en-US" w:eastAsia="zh-CN" w:bidi="ar"/>
              </w:rPr>
              <w:t>80%-60%</w:t>
            </w:r>
            <w:r>
              <w:rPr>
                <w:rStyle w:val="10"/>
                <w:lang w:val="en-US" w:eastAsia="zh-CN" w:bidi="ar"/>
              </w:rPr>
              <w:t>（含）、</w:t>
            </w:r>
            <w:r>
              <w:rPr>
                <w:rStyle w:val="11"/>
                <w:lang w:val="en-US" w:eastAsia="zh-CN" w:bidi="ar"/>
              </w:rPr>
              <w:t>60%-0%</w:t>
            </w:r>
            <w:r>
              <w:rPr>
                <w:rStyle w:val="10"/>
                <w:lang w:val="en-US" w:eastAsia="zh-CN" w:bidi="ar"/>
              </w:rPr>
              <w:t>评分。</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ABBCB">
            <w:pPr>
              <w:jc w:val="left"/>
              <w:rPr>
                <w:rFonts w:hint="default" w:ascii="Segoe UI" w:hAnsi="Segoe UI" w:eastAsia="Segoe UI" w:cs="Segoe UI"/>
                <w:i w:val="0"/>
                <w:iCs w:val="0"/>
                <w:color w:val="000000"/>
                <w:sz w:val="22"/>
                <w:szCs w:val="22"/>
                <w:u w:val="none"/>
              </w:rPr>
            </w:pPr>
          </w:p>
        </w:tc>
      </w:tr>
      <w:tr w14:paraId="3AB93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89F9B">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33</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D8B9B">
            <w:pPr>
              <w:jc w:val="left"/>
              <w:rPr>
                <w:rFonts w:hint="eastAsia" w:ascii="宋体" w:hAnsi="宋体" w:eastAsia="宋体" w:cs="宋体"/>
                <w:i w:val="0"/>
                <w:iCs w:val="0"/>
                <w:color w:val="000000"/>
                <w:sz w:val="22"/>
                <w:szCs w:val="22"/>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D0339">
            <w:pPr>
              <w:jc w:val="left"/>
              <w:rPr>
                <w:rFonts w:hint="default" w:ascii="Segoe UI" w:hAnsi="Segoe UI" w:eastAsia="Segoe UI" w:cs="Segoe UI"/>
                <w:i w:val="0"/>
                <w:iCs w:val="0"/>
                <w:color w:val="000000"/>
                <w:sz w:val="22"/>
                <w:szCs w:val="22"/>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B7EA2">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重点专科所属医疗服务能力与水平</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5FE84">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比上年有所提升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FF7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DD9FE">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4F89F">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0D8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评价要点：在亚专科建设、特色技术、诊治能力、创新能力、辐射能力5个方面的提升情况；每个方面各占20%权重，分明显提升、有所提升、无提升三档，按100%-80%（含）、80%-60%（含）、60%-0%评分。</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A12BA">
            <w:pPr>
              <w:jc w:val="left"/>
              <w:rPr>
                <w:rFonts w:hint="default" w:ascii="Segoe UI" w:hAnsi="Segoe UI" w:eastAsia="Segoe UI" w:cs="Segoe UI"/>
                <w:i w:val="0"/>
                <w:iCs w:val="0"/>
                <w:color w:val="000000"/>
                <w:sz w:val="22"/>
                <w:szCs w:val="22"/>
                <w:u w:val="none"/>
              </w:rPr>
            </w:pPr>
          </w:p>
        </w:tc>
      </w:tr>
      <w:tr w14:paraId="735C4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719C2">
            <w:pPr>
              <w:keepNext w:val="0"/>
              <w:keepLines w:val="0"/>
              <w:widowControl/>
              <w:suppressLineNumbers w:val="0"/>
              <w:jc w:val="center"/>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34</w:t>
            </w: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AF6E6">
            <w:pPr>
              <w:jc w:val="left"/>
              <w:rPr>
                <w:rFonts w:hint="eastAsia" w:ascii="宋体" w:hAnsi="宋体" w:eastAsia="宋体" w:cs="宋体"/>
                <w:i w:val="0"/>
                <w:iCs w:val="0"/>
                <w:color w:val="000000"/>
                <w:sz w:val="22"/>
                <w:szCs w:val="22"/>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76F35">
            <w:pPr>
              <w:jc w:val="left"/>
              <w:rPr>
                <w:rFonts w:hint="default" w:ascii="Segoe UI" w:hAnsi="Segoe UI" w:eastAsia="Segoe UI" w:cs="Segoe UI"/>
                <w:i w:val="0"/>
                <w:iCs w:val="0"/>
                <w:color w:val="000000"/>
                <w:sz w:val="22"/>
                <w:szCs w:val="22"/>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C00A8">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规范化培训在全省地位和影响力</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D77BB">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首位</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FB0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FC395">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0A246">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3</w:t>
            </w:r>
          </w:p>
        </w:tc>
        <w:tc>
          <w:tcPr>
            <w:tcW w:w="20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155D4">
            <w:pPr>
              <w:keepNext w:val="0"/>
              <w:keepLines w:val="0"/>
              <w:widowControl/>
              <w:suppressLineNumbers w:val="0"/>
              <w:jc w:val="left"/>
              <w:textAlignment w:val="center"/>
              <w:rPr>
                <w:rFonts w:hint="default" w:ascii="Segoe UI" w:hAnsi="Segoe UI" w:eastAsia="Segoe UI" w:cs="Segoe UI"/>
                <w:i w:val="0"/>
                <w:iCs w:val="0"/>
                <w:color w:val="000000"/>
                <w:sz w:val="22"/>
                <w:szCs w:val="22"/>
                <w:u w:val="none"/>
              </w:rPr>
            </w:pPr>
            <w:r>
              <w:rPr>
                <w:rFonts w:hint="default" w:ascii="Segoe UI" w:hAnsi="Segoe UI" w:eastAsia="Segoe UI" w:cs="Segoe UI"/>
                <w:i w:val="0"/>
                <w:iCs w:val="0"/>
                <w:color w:val="000000"/>
                <w:kern w:val="0"/>
                <w:sz w:val="22"/>
                <w:szCs w:val="22"/>
                <w:u w:val="none"/>
                <w:lang w:val="en-US" w:eastAsia="zh-CN" w:bidi="ar"/>
              </w:rPr>
              <w:t>评价要点：根据</w:t>
            </w:r>
            <w:r>
              <w:rPr>
                <w:rFonts w:hint="eastAsia" w:ascii="Segoe UI" w:hAnsi="Segoe UI" w:eastAsia="Segoe UI" w:cs="Segoe UI"/>
                <w:i w:val="0"/>
                <w:iCs w:val="0"/>
                <w:color w:val="000000"/>
                <w:kern w:val="0"/>
                <w:sz w:val="22"/>
                <w:szCs w:val="22"/>
                <w:u w:val="none"/>
                <w:lang w:val="en-US" w:eastAsia="zh-CN" w:bidi="ar"/>
              </w:rPr>
              <w:t>影响力</w:t>
            </w:r>
            <w:r>
              <w:rPr>
                <w:rFonts w:hint="default" w:ascii="Segoe UI" w:hAnsi="Segoe UI" w:eastAsia="Segoe UI" w:cs="Segoe UI"/>
                <w:i w:val="0"/>
                <w:iCs w:val="0"/>
                <w:color w:val="000000"/>
                <w:kern w:val="0"/>
                <w:sz w:val="22"/>
                <w:szCs w:val="22"/>
                <w:u w:val="none"/>
                <w:lang w:val="en-US" w:eastAsia="zh-CN" w:bidi="ar"/>
              </w:rPr>
              <w:t>调查结果填列。</w:t>
            </w:r>
            <w:r>
              <w:rPr>
                <w:rFonts w:hint="default" w:ascii="Segoe UI" w:hAnsi="Segoe UI" w:eastAsia="Segoe UI" w:cs="Segoe UI"/>
                <w:i w:val="0"/>
                <w:iCs w:val="0"/>
                <w:color w:val="000000"/>
                <w:kern w:val="0"/>
                <w:sz w:val="22"/>
                <w:szCs w:val="22"/>
                <w:u w:val="none"/>
                <w:lang w:val="en-US" w:eastAsia="zh-CN" w:bidi="ar"/>
              </w:rPr>
              <w:br w:type="textWrapping"/>
            </w:r>
            <w:r>
              <w:rPr>
                <w:rFonts w:hint="default" w:ascii="Segoe UI" w:hAnsi="Segoe UI" w:eastAsia="Segoe UI" w:cs="Segoe UI"/>
                <w:i w:val="0"/>
                <w:iCs w:val="0"/>
                <w:color w:val="000000"/>
                <w:kern w:val="0"/>
                <w:sz w:val="22"/>
                <w:szCs w:val="22"/>
                <w:u w:val="none"/>
                <w:lang w:val="en-US" w:eastAsia="zh-CN" w:bidi="ar"/>
              </w:rPr>
              <w:t>评分细则：完成全年指标值的，得权重分；未达到全年指标值的，每高于上年值或全省平均值（二者就高选择）1%，扣1分，扣完为止。</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171EE">
            <w:pPr>
              <w:jc w:val="left"/>
              <w:rPr>
                <w:rFonts w:hint="default" w:ascii="Segoe UI" w:hAnsi="Segoe UI" w:eastAsia="Segoe UI" w:cs="Segoe UI"/>
                <w:i w:val="0"/>
                <w:iCs w:val="0"/>
                <w:color w:val="000000"/>
                <w:sz w:val="22"/>
                <w:szCs w:val="22"/>
                <w:u w:val="none"/>
              </w:rPr>
            </w:pPr>
          </w:p>
        </w:tc>
      </w:tr>
    </w:tbl>
    <w:p w14:paraId="6A83335E">
      <w:pPr>
        <w:pStyle w:val="3"/>
        <w:jc w:val="center"/>
        <w:rPr>
          <w:rFonts w:hint="eastAsia" w:ascii="方正小标宋_GBK" w:hAnsi="方正小标宋_GBK" w:eastAsia="方正小标宋_GBK" w:cs="方正小标宋_GBK"/>
          <w:color w:val="000000"/>
          <w:kern w:val="0"/>
          <w:sz w:val="32"/>
          <w:szCs w:val="32"/>
        </w:rPr>
      </w:pPr>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auto"/>
    <w:pitch w:val="default"/>
    <w:sig w:usb0="E10022FF" w:usb1="C000E47F" w:usb2="00000029" w:usb3="00000000" w:csb0="200001DF" w:csb1="2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632429"/>
    <w:multiLevelType w:val="singleLevel"/>
    <w:tmpl w:val="DA63242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g2M2Y0YzJlMDZjOTZlYjQyY2FmMjQ5N2ZkMDEwMDcifQ=="/>
  </w:docVars>
  <w:rsids>
    <w:rsidRoot w:val="00382194"/>
    <w:rsid w:val="00261A15"/>
    <w:rsid w:val="00382194"/>
    <w:rsid w:val="004910BB"/>
    <w:rsid w:val="00563D27"/>
    <w:rsid w:val="005E5CBD"/>
    <w:rsid w:val="005F6DDB"/>
    <w:rsid w:val="007A0B62"/>
    <w:rsid w:val="00810D1B"/>
    <w:rsid w:val="00AB2972"/>
    <w:rsid w:val="00B91670"/>
    <w:rsid w:val="00BF4B46"/>
    <w:rsid w:val="00C53346"/>
    <w:rsid w:val="00D076A2"/>
    <w:rsid w:val="00D80BA6"/>
    <w:rsid w:val="00ED6988"/>
    <w:rsid w:val="00F126DE"/>
    <w:rsid w:val="05145A95"/>
    <w:rsid w:val="0F097ABD"/>
    <w:rsid w:val="15F311B5"/>
    <w:rsid w:val="30750896"/>
    <w:rsid w:val="4D9A4FD2"/>
    <w:rsid w:val="4F86739C"/>
    <w:rsid w:val="57CA2856"/>
    <w:rsid w:val="5BBC16DA"/>
    <w:rsid w:val="61575FB6"/>
    <w:rsid w:val="6D9A2855"/>
    <w:rsid w:val="71274B86"/>
    <w:rsid w:val="72942723"/>
    <w:rsid w:val="7EA60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
    <w:pPr>
      <w:keepNext/>
      <w:keepLines/>
      <w:spacing w:before="0" w:after="0" w:line="408" w:lineRule="auto"/>
      <w:outlineLvl w:val="1"/>
    </w:pPr>
    <w:rPr>
      <w:b/>
      <w:bCs/>
      <w:color w:val="1A1A1A"/>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149"/>
      <w:ind w:left="760"/>
    </w:pPr>
    <w:rPr>
      <w:sz w:val="32"/>
      <w:szCs w:val="32"/>
    </w:rPr>
  </w:style>
  <w:style w:type="paragraph" w:styleId="4">
    <w:name w:val="footer"/>
    <w:basedOn w:val="1"/>
    <w:next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font01"/>
    <w:basedOn w:val="7"/>
    <w:qFormat/>
    <w:uiPriority w:val="0"/>
    <w:rPr>
      <w:rFonts w:hint="eastAsia" w:ascii="宋体" w:hAnsi="宋体" w:eastAsia="宋体" w:cs="宋体"/>
      <w:color w:val="000000"/>
      <w:sz w:val="22"/>
      <w:szCs w:val="22"/>
      <w:u w:val="none"/>
    </w:rPr>
  </w:style>
  <w:style w:type="character" w:customStyle="1" w:styleId="11">
    <w:name w:val="font21"/>
    <w:basedOn w:val="7"/>
    <w:qFormat/>
    <w:uiPriority w:val="0"/>
    <w:rPr>
      <w:rFonts w:hint="default" w:ascii="Segoe UI" w:hAnsi="Segoe UI" w:eastAsia="Segoe UI" w:cs="Segoe UI"/>
      <w:color w:val="000000"/>
      <w:sz w:val="22"/>
      <w:szCs w:val="22"/>
      <w:u w:val="none"/>
    </w:rPr>
  </w:style>
  <w:style w:type="character" w:customStyle="1" w:styleId="12">
    <w:name w:val="font41"/>
    <w:basedOn w:val="7"/>
    <w:qFormat/>
    <w:uiPriority w:val="0"/>
    <w:rPr>
      <w:rFonts w:hint="default" w:ascii="Segoe UI" w:hAnsi="Segoe UI" w:eastAsia="Segoe UI" w:cs="Segoe UI"/>
      <w:color w:val="000000"/>
      <w:sz w:val="22"/>
      <w:szCs w:val="22"/>
      <w:u w:val="none"/>
    </w:rPr>
  </w:style>
  <w:style w:type="character" w:customStyle="1" w:styleId="13">
    <w:name w:val="font5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20</Pages>
  <Words>12139</Words>
  <Characters>13074</Characters>
  <Lines>6</Lines>
  <Paragraphs>1</Paragraphs>
  <TotalTime>0</TotalTime>
  <ScaleCrop>false</ScaleCrop>
  <LinksUpToDate>false</LinksUpToDate>
  <CharactersWithSpaces>13128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2021-06-10T09:08:00Z</dcterms:created>
  <dc:creator>lys</dc:creator>
  <cp:lastModifiedBy>微微珊</cp:lastModifiedBy>
  <dcterms:modified xsi:type="dcterms:W3CDTF">2024-09-26T04:36:55Z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41278F6894564477B4CE7DE76BBDC28F_12</vt:lpwstr>
  </property>
</Properties>
</file>